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DA8" w:rsidRDefault="00644DA8">
      <w:pPr>
        <w:rPr>
          <w:b/>
          <w:sz w:val="40"/>
          <w:szCs w:val="40"/>
        </w:rPr>
      </w:pPr>
    </w:p>
    <w:p w:rsidR="005B5DD8" w:rsidRDefault="00AF7569">
      <w:pPr>
        <w:rPr>
          <w:b/>
          <w:sz w:val="40"/>
          <w:szCs w:val="40"/>
        </w:rPr>
      </w:pPr>
      <w:r w:rsidRPr="00AF7569">
        <w:rPr>
          <w:b/>
          <w:sz w:val="40"/>
          <w:szCs w:val="40"/>
        </w:rPr>
        <w:t>Psychostimulants</w:t>
      </w:r>
    </w:p>
    <w:p w:rsidR="00644DA8" w:rsidRDefault="00644DA8">
      <w:pPr>
        <w:rPr>
          <w:b/>
          <w:sz w:val="40"/>
          <w:szCs w:val="40"/>
        </w:rPr>
      </w:pPr>
    </w:p>
    <w:p w:rsidR="00AF7569" w:rsidRDefault="00AF7569">
      <w:pPr>
        <w:rPr>
          <w:b/>
          <w:sz w:val="24"/>
          <w:szCs w:val="24"/>
        </w:rPr>
      </w:pPr>
      <w:r>
        <w:rPr>
          <w:b/>
          <w:sz w:val="24"/>
          <w:szCs w:val="24"/>
        </w:rPr>
        <w:t>Préambule</w:t>
      </w:r>
    </w:p>
    <w:p w:rsidR="0005260F" w:rsidRDefault="00AF7569">
      <w:pPr>
        <w:rPr>
          <w:sz w:val="24"/>
          <w:szCs w:val="24"/>
        </w:rPr>
      </w:pPr>
      <w:r>
        <w:rPr>
          <w:sz w:val="24"/>
          <w:szCs w:val="24"/>
        </w:rPr>
        <w:t xml:space="preserve">Les compétences à acquérir chez les résidents en médecine familiale pour l’évaluation, le diagnostic et le traitement du TDAH chez </w:t>
      </w:r>
      <w:r w:rsidR="00C94F0C">
        <w:rPr>
          <w:sz w:val="24"/>
          <w:szCs w:val="24"/>
        </w:rPr>
        <w:t>l’enfant et l’adulte sont incluses dans le</w:t>
      </w:r>
      <w:r>
        <w:rPr>
          <w:sz w:val="24"/>
          <w:szCs w:val="24"/>
        </w:rPr>
        <w:t xml:space="preserve"> curriculum du programme de résidence de médecine familiale de l’UDEM dans les sections des soins aux enfants et santé mentale adulte respectivement.  De l’enseignement formel est déjà </w:t>
      </w:r>
      <w:r w:rsidR="00C94F0C">
        <w:rPr>
          <w:sz w:val="24"/>
          <w:szCs w:val="24"/>
        </w:rPr>
        <w:t xml:space="preserve">prévu </w:t>
      </w:r>
      <w:r>
        <w:rPr>
          <w:sz w:val="24"/>
          <w:szCs w:val="24"/>
        </w:rPr>
        <w:t xml:space="preserve">au programme, sous la forme de PABP obligatoires (1).  Le </w:t>
      </w:r>
      <w:r w:rsidR="005B3E45">
        <w:rPr>
          <w:sz w:val="24"/>
          <w:szCs w:val="24"/>
        </w:rPr>
        <w:t>comité de toxicomanie a décidé</w:t>
      </w:r>
      <w:r>
        <w:rPr>
          <w:sz w:val="24"/>
          <w:szCs w:val="24"/>
        </w:rPr>
        <w:t xml:space="preserve"> </w:t>
      </w:r>
      <w:r w:rsidR="005B3E45">
        <w:rPr>
          <w:sz w:val="24"/>
          <w:szCs w:val="24"/>
        </w:rPr>
        <w:t xml:space="preserve">de procéder à </w:t>
      </w:r>
      <w:r>
        <w:rPr>
          <w:sz w:val="24"/>
          <w:szCs w:val="24"/>
        </w:rPr>
        <w:t>une revue du bon usage des psychostimulants</w:t>
      </w:r>
      <w:r w:rsidR="005B3E45">
        <w:rPr>
          <w:sz w:val="24"/>
          <w:szCs w:val="24"/>
        </w:rPr>
        <w:t xml:space="preserve"> </w:t>
      </w:r>
      <w:r>
        <w:rPr>
          <w:sz w:val="24"/>
          <w:szCs w:val="24"/>
        </w:rPr>
        <w:t xml:space="preserve"> </w:t>
      </w:r>
      <w:r w:rsidR="005B3E45">
        <w:rPr>
          <w:sz w:val="24"/>
          <w:szCs w:val="24"/>
        </w:rPr>
        <w:t xml:space="preserve">afin, à terme, d’émettre des recommandations sur les compétences à acquérir  </w:t>
      </w:r>
      <w:r w:rsidR="009124D6">
        <w:rPr>
          <w:sz w:val="24"/>
          <w:szCs w:val="24"/>
        </w:rPr>
        <w:t xml:space="preserve">en matière de trouble lié aux substances (stimulants).  </w:t>
      </w:r>
    </w:p>
    <w:p w:rsidR="00644DA8" w:rsidRDefault="00644DA8">
      <w:pPr>
        <w:rPr>
          <w:sz w:val="24"/>
          <w:szCs w:val="24"/>
        </w:rPr>
      </w:pPr>
    </w:p>
    <w:p w:rsidR="00644DA8" w:rsidRDefault="006E0760">
      <w:pPr>
        <w:rPr>
          <w:sz w:val="24"/>
          <w:szCs w:val="24"/>
        </w:rPr>
      </w:pPr>
      <w:r>
        <w:rPr>
          <w:sz w:val="24"/>
          <w:szCs w:val="24"/>
        </w:rPr>
        <w:t xml:space="preserve">En médecine familiale, la prescription de psychostimulants s’inscrit largement dans le traitement du TDAH, bien que d’autres indications existent.  De plus, le traitement pharmacologique du TDAH inclue des molécules d’autres classes qui ne présentent pas de potentiel d’abus. </w:t>
      </w:r>
      <w:r w:rsidR="00B8666D">
        <w:rPr>
          <w:sz w:val="24"/>
          <w:szCs w:val="24"/>
        </w:rPr>
        <w:t>L</w:t>
      </w:r>
      <w:r w:rsidR="00561EE4">
        <w:rPr>
          <w:sz w:val="24"/>
          <w:szCs w:val="24"/>
        </w:rPr>
        <w:t>’essentiel du texte portera sur l’utilisation</w:t>
      </w:r>
      <w:r w:rsidR="00644DA8">
        <w:rPr>
          <w:sz w:val="24"/>
          <w:szCs w:val="24"/>
        </w:rPr>
        <w:t xml:space="preserve"> </w:t>
      </w:r>
      <w:r w:rsidR="00561EE4">
        <w:rPr>
          <w:sz w:val="24"/>
          <w:szCs w:val="24"/>
        </w:rPr>
        <w:t xml:space="preserve"> </w:t>
      </w:r>
      <w:proofErr w:type="gramStart"/>
      <w:r w:rsidR="00561EE4">
        <w:rPr>
          <w:sz w:val="24"/>
          <w:szCs w:val="24"/>
        </w:rPr>
        <w:t>des</w:t>
      </w:r>
      <w:r w:rsidR="00644DA8">
        <w:rPr>
          <w:sz w:val="24"/>
          <w:szCs w:val="24"/>
        </w:rPr>
        <w:t xml:space="preserve"> </w:t>
      </w:r>
      <w:r w:rsidR="00561EE4">
        <w:rPr>
          <w:sz w:val="24"/>
          <w:szCs w:val="24"/>
        </w:rPr>
        <w:t xml:space="preserve"> </w:t>
      </w:r>
      <w:r w:rsidR="00C94F0C">
        <w:rPr>
          <w:sz w:val="24"/>
          <w:szCs w:val="24"/>
        </w:rPr>
        <w:t xml:space="preserve"> </w:t>
      </w:r>
      <w:r w:rsidR="00561EE4">
        <w:rPr>
          <w:sz w:val="24"/>
          <w:szCs w:val="24"/>
        </w:rPr>
        <w:t>psychostimulants</w:t>
      </w:r>
      <w:proofErr w:type="gramEnd"/>
      <w:r w:rsidR="00561EE4">
        <w:rPr>
          <w:sz w:val="24"/>
          <w:szCs w:val="24"/>
        </w:rPr>
        <w:t xml:space="preserve"> et autres molécules utilisées dans le </w:t>
      </w:r>
      <w:r w:rsidR="00B8666D">
        <w:rPr>
          <w:sz w:val="24"/>
          <w:szCs w:val="24"/>
        </w:rPr>
        <w:t xml:space="preserve">traitement du </w:t>
      </w:r>
      <w:r w:rsidR="00561EE4">
        <w:rPr>
          <w:sz w:val="24"/>
          <w:szCs w:val="24"/>
        </w:rPr>
        <w:t>TDAH.</w:t>
      </w:r>
    </w:p>
    <w:p w:rsidR="00644DA8" w:rsidRDefault="00644DA8">
      <w:pPr>
        <w:rPr>
          <w:sz w:val="24"/>
          <w:szCs w:val="24"/>
        </w:rPr>
      </w:pPr>
    </w:p>
    <w:p w:rsidR="00644DA8" w:rsidRDefault="00644DA8">
      <w:pPr>
        <w:rPr>
          <w:sz w:val="24"/>
          <w:szCs w:val="24"/>
        </w:rPr>
      </w:pPr>
      <w:r>
        <w:rPr>
          <w:sz w:val="24"/>
          <w:szCs w:val="24"/>
        </w:rPr>
        <w:t>Des études internationales ont démontré une  prévalence de TDAH de 5% chez l’enfant et de 2 à 3.5% chez l’adulte.  Si  les symptômes d’hyperactivité et impulsivité ont tendance à s’améliorer à l’âge adulte, les symptômes d’inattention peuvent persister et les symptômes d’anxiété et dépression  augmen</w:t>
      </w:r>
      <w:r w:rsidR="0088287E">
        <w:rPr>
          <w:sz w:val="24"/>
          <w:szCs w:val="24"/>
        </w:rPr>
        <w:t>ter avec le temps chez les patients atteints de TDAH</w:t>
      </w:r>
      <w:r>
        <w:rPr>
          <w:sz w:val="24"/>
          <w:szCs w:val="24"/>
        </w:rPr>
        <w:t xml:space="preserve">  (2).   La prévention du mésusage </w:t>
      </w:r>
      <w:proofErr w:type="gramStart"/>
      <w:r>
        <w:rPr>
          <w:sz w:val="24"/>
          <w:szCs w:val="24"/>
        </w:rPr>
        <w:t>des psychostimulants  passe</w:t>
      </w:r>
      <w:proofErr w:type="gramEnd"/>
      <w:r>
        <w:rPr>
          <w:sz w:val="24"/>
          <w:szCs w:val="24"/>
        </w:rPr>
        <w:t xml:space="preserve"> par l’enseignement des bonnes pratiques </w:t>
      </w:r>
      <w:r w:rsidR="0088287E">
        <w:rPr>
          <w:sz w:val="24"/>
          <w:szCs w:val="24"/>
        </w:rPr>
        <w:t>en matière d’évaluation et de traitement du TDAH.</w:t>
      </w:r>
    </w:p>
    <w:p w:rsidR="0088287E" w:rsidRDefault="0088287E">
      <w:pPr>
        <w:rPr>
          <w:sz w:val="24"/>
          <w:szCs w:val="24"/>
        </w:rPr>
      </w:pPr>
    </w:p>
    <w:p w:rsidR="00B8666D" w:rsidRDefault="00B8666D">
      <w:pPr>
        <w:rPr>
          <w:sz w:val="24"/>
          <w:szCs w:val="24"/>
          <w:u w:val="single"/>
        </w:rPr>
      </w:pPr>
      <w:r w:rsidRPr="00B8666D">
        <w:rPr>
          <w:sz w:val="24"/>
          <w:szCs w:val="24"/>
          <w:u w:val="single"/>
        </w:rPr>
        <w:t>TDAH :</w:t>
      </w:r>
      <w:r>
        <w:rPr>
          <w:sz w:val="24"/>
          <w:szCs w:val="24"/>
          <w:u w:val="single"/>
        </w:rPr>
        <w:t xml:space="preserve"> </w:t>
      </w:r>
      <w:r w:rsidRPr="00B8666D">
        <w:rPr>
          <w:sz w:val="24"/>
          <w:szCs w:val="24"/>
          <w:u w:val="single"/>
        </w:rPr>
        <w:t xml:space="preserve">  Démarche clinique</w:t>
      </w:r>
    </w:p>
    <w:p w:rsidR="0088287E" w:rsidRDefault="00B8666D">
      <w:pPr>
        <w:rPr>
          <w:sz w:val="24"/>
          <w:szCs w:val="24"/>
        </w:rPr>
      </w:pPr>
      <w:r>
        <w:rPr>
          <w:sz w:val="24"/>
          <w:szCs w:val="24"/>
        </w:rPr>
        <w:t xml:space="preserve">Le DSM 5 </w:t>
      </w:r>
      <w:r w:rsidR="0088287E">
        <w:rPr>
          <w:sz w:val="24"/>
          <w:szCs w:val="24"/>
        </w:rPr>
        <w:t>a modifié certains critères  diagnostiques du TDAH.</w:t>
      </w:r>
      <w:r>
        <w:rPr>
          <w:sz w:val="24"/>
          <w:szCs w:val="24"/>
        </w:rPr>
        <w:t xml:space="preserve">  Retenons que le TDAH peut  être diagnostiqué à l’âge adulte,  mais que plusieurs symptômes doivent avoir été présents avant l’</w:t>
      </w:r>
      <w:r w:rsidR="00C94F0C">
        <w:rPr>
          <w:sz w:val="24"/>
          <w:szCs w:val="24"/>
        </w:rPr>
        <w:t xml:space="preserve">âge de 12 ans, et s’exprimer </w:t>
      </w:r>
      <w:r w:rsidR="00A058E5">
        <w:rPr>
          <w:sz w:val="24"/>
          <w:szCs w:val="24"/>
        </w:rPr>
        <w:t>dans plus d’</w:t>
      </w:r>
      <w:r w:rsidR="00E14D77">
        <w:rPr>
          <w:sz w:val="24"/>
          <w:szCs w:val="24"/>
        </w:rPr>
        <w:t xml:space="preserve">un environnement. </w:t>
      </w:r>
      <w:r w:rsidR="0088287E">
        <w:rPr>
          <w:sz w:val="24"/>
          <w:szCs w:val="24"/>
        </w:rPr>
        <w:t xml:space="preserve">Également </w:t>
      </w:r>
      <w:r w:rsidR="00E14D77">
        <w:rPr>
          <w:sz w:val="24"/>
          <w:szCs w:val="24"/>
        </w:rPr>
        <w:t xml:space="preserve"> </w:t>
      </w:r>
      <w:r w:rsidR="0088287E">
        <w:rPr>
          <w:sz w:val="24"/>
          <w:szCs w:val="24"/>
        </w:rPr>
        <w:t>le nombre de symptômes nécessaires au diagnostic est moindre chez le sujet de plus de 17 ans.</w:t>
      </w:r>
    </w:p>
    <w:p w:rsidR="00E14D77" w:rsidRDefault="0088287E">
      <w:pPr>
        <w:rPr>
          <w:sz w:val="24"/>
          <w:szCs w:val="24"/>
        </w:rPr>
      </w:pPr>
      <w:r>
        <w:rPr>
          <w:sz w:val="24"/>
          <w:szCs w:val="24"/>
        </w:rPr>
        <w:lastRenderedPageBreak/>
        <w:t xml:space="preserve">Dans ses lignes directrices de 2013,  </w:t>
      </w:r>
      <w:r w:rsidR="00B8666D">
        <w:rPr>
          <w:sz w:val="24"/>
          <w:szCs w:val="24"/>
        </w:rPr>
        <w:t>Le CADDRA (</w:t>
      </w:r>
      <w:r>
        <w:rPr>
          <w:sz w:val="24"/>
          <w:szCs w:val="24"/>
        </w:rPr>
        <w:t>3</w:t>
      </w:r>
      <w:r w:rsidR="00B8666D">
        <w:rPr>
          <w:sz w:val="24"/>
          <w:szCs w:val="24"/>
        </w:rPr>
        <w:t xml:space="preserve">) propose une démarche </w:t>
      </w:r>
      <w:r>
        <w:rPr>
          <w:sz w:val="24"/>
          <w:szCs w:val="24"/>
        </w:rPr>
        <w:t>diagnostique s’échelonnant sur 4</w:t>
      </w:r>
      <w:r w:rsidR="00B8666D">
        <w:rPr>
          <w:sz w:val="24"/>
          <w:szCs w:val="24"/>
        </w:rPr>
        <w:t xml:space="preserve"> rencontres.  Bien que cela puisse s’avérer difficile à appliquer dans une pratique de médecine familiale telle que nous la connaissons, retenons tout-de-même que l’évaluation doit porter sur certains aspects essentiels soit : un questionnaire et examen physique à la recherche de causes médicales aux symptômes présentés, la présence de pathologies psychiatriques expliquant mieux les symptômes ou l’existence de comorbidité psychiatriques, la présence de contre-indication aux médicaments envisagés pour un éventuel traitement pharmacologique.  </w:t>
      </w:r>
      <w:r w:rsidR="00A058E5">
        <w:rPr>
          <w:sz w:val="24"/>
          <w:szCs w:val="24"/>
        </w:rPr>
        <w:t xml:space="preserve">L’évaluation des  </w:t>
      </w:r>
      <w:r w:rsidR="00DB4B06">
        <w:rPr>
          <w:sz w:val="24"/>
          <w:szCs w:val="24"/>
        </w:rPr>
        <w:t>comorb</w:t>
      </w:r>
      <w:r w:rsidR="00A058E5">
        <w:rPr>
          <w:sz w:val="24"/>
          <w:szCs w:val="24"/>
        </w:rPr>
        <w:t xml:space="preserve">idités </w:t>
      </w:r>
      <w:r w:rsidR="00B8666D">
        <w:rPr>
          <w:sz w:val="24"/>
          <w:szCs w:val="24"/>
        </w:rPr>
        <w:t xml:space="preserve"> </w:t>
      </w:r>
      <w:r w:rsidR="00C94F0C">
        <w:rPr>
          <w:sz w:val="24"/>
          <w:szCs w:val="24"/>
        </w:rPr>
        <w:t>s’avère essentielle, car selon</w:t>
      </w:r>
      <w:r w:rsidR="001635A0">
        <w:rPr>
          <w:sz w:val="24"/>
          <w:szCs w:val="24"/>
        </w:rPr>
        <w:t xml:space="preserve"> </w:t>
      </w:r>
      <w:r w:rsidR="00DB4B06">
        <w:rPr>
          <w:sz w:val="24"/>
          <w:szCs w:val="24"/>
        </w:rPr>
        <w:t xml:space="preserve">les données citées dans les CADDRA, de 50 à 90% des enfants et 85% des adultes présentent une comorbidité psychiatrique.  </w:t>
      </w:r>
      <w:r w:rsidR="00B8666D">
        <w:rPr>
          <w:sz w:val="24"/>
          <w:szCs w:val="24"/>
        </w:rPr>
        <w:t>Le CADDRA met aussi à la disposition des cliniciens une trousse d’outils et formulaires pouvant être utilisés pour le dépistage, l’évaluat</w:t>
      </w:r>
      <w:r w:rsidR="00A058E5">
        <w:rPr>
          <w:sz w:val="24"/>
          <w:szCs w:val="24"/>
        </w:rPr>
        <w:t>ion des symptômes de TDAH et co</w:t>
      </w:r>
      <w:r w:rsidR="00B8666D">
        <w:rPr>
          <w:sz w:val="24"/>
          <w:szCs w:val="24"/>
        </w:rPr>
        <w:t>morbidités</w:t>
      </w:r>
      <w:r w:rsidR="00C41883">
        <w:rPr>
          <w:sz w:val="24"/>
          <w:szCs w:val="24"/>
        </w:rPr>
        <w:t>, et le suivi du traitement</w:t>
      </w:r>
      <w:r w:rsidR="00B8666D">
        <w:rPr>
          <w:sz w:val="24"/>
          <w:szCs w:val="24"/>
        </w:rPr>
        <w:t xml:space="preserve"> pharmacologique. Si la mise à contribution des parents, professeurs et autres professionnels  est nécessaire  tout au long de ce processus pour la clientèle pédiatrique, la contribution des tiers et autres professionnels peut également s’avérer utile pour une clientèle adulte.  </w:t>
      </w:r>
    </w:p>
    <w:p w:rsidR="001635A0" w:rsidRDefault="001635A0">
      <w:pPr>
        <w:rPr>
          <w:sz w:val="24"/>
          <w:szCs w:val="24"/>
        </w:rPr>
      </w:pPr>
      <w:r>
        <w:rPr>
          <w:sz w:val="24"/>
          <w:szCs w:val="24"/>
        </w:rPr>
        <w:t>Les résidents doivent être sensibilisés aux différents modes de présentation du TDAH.  Si la raison de consultation  initiale est souvent une demande d’évaluation pour TDAH, il faut aussi savoir dépister  le TDAH dans plusieurs situations cliniques, telles l’abus de substance, ou par exemple lorsque le tableau clinique d’un patient avec des symptômes anxieux ou dépressif ne s’améliore pas avec le traitement. À l’inverse, tout problème d’attention ou de concentration n’est pas un TDAH et demande un bon diagnostic différentiel.</w:t>
      </w:r>
    </w:p>
    <w:p w:rsidR="00E14D77" w:rsidRDefault="00E14D77">
      <w:pPr>
        <w:rPr>
          <w:sz w:val="24"/>
          <w:szCs w:val="24"/>
        </w:rPr>
      </w:pPr>
    </w:p>
    <w:p w:rsidR="00E14D77" w:rsidRDefault="00E14D77">
      <w:pPr>
        <w:rPr>
          <w:sz w:val="24"/>
          <w:szCs w:val="24"/>
          <w:u w:val="single"/>
        </w:rPr>
      </w:pPr>
      <w:r w:rsidRPr="00E14D77">
        <w:rPr>
          <w:sz w:val="24"/>
          <w:szCs w:val="24"/>
          <w:u w:val="single"/>
        </w:rPr>
        <w:t xml:space="preserve">TDAH : </w:t>
      </w:r>
      <w:r>
        <w:rPr>
          <w:sz w:val="24"/>
          <w:szCs w:val="24"/>
          <w:u w:val="single"/>
        </w:rPr>
        <w:t xml:space="preserve"> </w:t>
      </w:r>
      <w:r w:rsidR="004B6295">
        <w:rPr>
          <w:sz w:val="24"/>
          <w:szCs w:val="24"/>
          <w:u w:val="single"/>
        </w:rPr>
        <w:t xml:space="preserve"> traitement, généralités</w:t>
      </w:r>
    </w:p>
    <w:p w:rsidR="004B6295" w:rsidRDefault="00E14D77">
      <w:pPr>
        <w:rPr>
          <w:sz w:val="24"/>
          <w:szCs w:val="24"/>
        </w:rPr>
      </w:pPr>
      <w:r>
        <w:rPr>
          <w:sz w:val="24"/>
          <w:szCs w:val="24"/>
        </w:rPr>
        <w:t>Toujours selon le CADDRA</w:t>
      </w:r>
      <w:r w:rsidR="002E1598">
        <w:rPr>
          <w:sz w:val="24"/>
          <w:szCs w:val="24"/>
        </w:rPr>
        <w:t xml:space="preserve">, le traitement du TDAH  doit être basé sur une « approche multimodale, complète et collaborative », comprenant des interventions psycho-éducatives, comportementales, sociales, psychothérapeutiques, sans oublier les accommodements scolaires et professionnels.  </w:t>
      </w:r>
      <w:r w:rsidR="004B6295">
        <w:rPr>
          <w:sz w:val="24"/>
          <w:szCs w:val="24"/>
        </w:rPr>
        <w:t>On fait référence à pl</w:t>
      </w:r>
      <w:r w:rsidR="001635A0">
        <w:rPr>
          <w:sz w:val="24"/>
          <w:szCs w:val="24"/>
        </w:rPr>
        <w:t>u</w:t>
      </w:r>
      <w:r w:rsidR="004B6295">
        <w:rPr>
          <w:sz w:val="24"/>
          <w:szCs w:val="24"/>
        </w:rPr>
        <w:t xml:space="preserve">sieurs études qui démontrent que les interventions pharmacologiques combinées aux interventions psychosociales ont un impact plus important à la fois sur les symptômes et sur le fonctionnement.  </w:t>
      </w:r>
      <w:r w:rsidR="001635A0">
        <w:rPr>
          <w:sz w:val="24"/>
          <w:szCs w:val="24"/>
        </w:rPr>
        <w:t>Il importe de bien fixer les objectifs de traitement avec le patient et se souvenir que l’amélioration du fonctionnement et de la qualité de vie constituent l’objectif principal, plus que l’amélioration des performances scolaires qui est tributaire de plusieurs facteurs.</w:t>
      </w:r>
    </w:p>
    <w:p w:rsidR="004B6295" w:rsidRDefault="004B6295">
      <w:pPr>
        <w:rPr>
          <w:sz w:val="24"/>
          <w:szCs w:val="24"/>
        </w:rPr>
      </w:pPr>
    </w:p>
    <w:p w:rsidR="004B6295" w:rsidRDefault="004B6295">
      <w:pPr>
        <w:rPr>
          <w:sz w:val="24"/>
          <w:szCs w:val="24"/>
        </w:rPr>
      </w:pPr>
      <w:r w:rsidRPr="004B6295">
        <w:rPr>
          <w:sz w:val="24"/>
          <w:szCs w:val="24"/>
          <w:u w:val="single"/>
        </w:rPr>
        <w:t xml:space="preserve">TDAH :  </w:t>
      </w:r>
      <w:r>
        <w:rPr>
          <w:sz w:val="24"/>
          <w:szCs w:val="24"/>
          <w:u w:val="single"/>
        </w:rPr>
        <w:t xml:space="preserve"> </w:t>
      </w:r>
      <w:r w:rsidR="001635A0">
        <w:rPr>
          <w:sz w:val="24"/>
          <w:szCs w:val="24"/>
          <w:u w:val="single"/>
        </w:rPr>
        <w:t>traitement pharmacologique</w:t>
      </w:r>
    </w:p>
    <w:p w:rsidR="00DB4B06" w:rsidRDefault="001635A0">
      <w:pPr>
        <w:rPr>
          <w:sz w:val="24"/>
          <w:szCs w:val="24"/>
        </w:rPr>
      </w:pPr>
      <w:r>
        <w:rPr>
          <w:sz w:val="24"/>
          <w:szCs w:val="24"/>
        </w:rPr>
        <w:lastRenderedPageBreak/>
        <w:t xml:space="preserve">Les lignes directrices NICE (4) préconisent une approche d’abord non pharmacologique.  Le CADDA quand à lui inclue la pharmacothérapie dans un plan de traitement global. </w:t>
      </w:r>
    </w:p>
    <w:p w:rsidR="004B6295" w:rsidRDefault="00DB4B06">
      <w:pPr>
        <w:rPr>
          <w:sz w:val="24"/>
          <w:szCs w:val="24"/>
        </w:rPr>
      </w:pPr>
      <w:r>
        <w:rPr>
          <w:sz w:val="24"/>
          <w:szCs w:val="24"/>
        </w:rPr>
        <w:t>L</w:t>
      </w:r>
      <w:r w:rsidR="004B6295">
        <w:rPr>
          <w:sz w:val="24"/>
          <w:szCs w:val="24"/>
        </w:rPr>
        <w:t>e « guide de CADDRA pour les traitements pharmacologi</w:t>
      </w:r>
      <w:r w:rsidR="001635A0">
        <w:rPr>
          <w:sz w:val="24"/>
          <w:szCs w:val="24"/>
        </w:rPr>
        <w:t>ques du TDAH au Québec-2015 » (5</w:t>
      </w:r>
      <w:r w:rsidR="004B6295">
        <w:rPr>
          <w:sz w:val="24"/>
          <w:szCs w:val="24"/>
        </w:rPr>
        <w:t>) fait la revue des principales molécules approuvées au Québec pour le traitement du TDAH et leur utilisation.  Il faut se référer au guide pratique pour plus de contenu concernant les étapes du traitement (premièr</w:t>
      </w:r>
      <w:r w:rsidR="001256F1">
        <w:rPr>
          <w:sz w:val="24"/>
          <w:szCs w:val="24"/>
        </w:rPr>
        <w:t>e et deuxième ligne, gestion des effets s</w:t>
      </w:r>
      <w:r w:rsidR="00C94F0C">
        <w:rPr>
          <w:sz w:val="24"/>
          <w:szCs w:val="24"/>
        </w:rPr>
        <w:t xml:space="preserve">econdaires, approche en cas de </w:t>
      </w:r>
      <w:proofErr w:type="spellStart"/>
      <w:r w:rsidR="00C94F0C">
        <w:rPr>
          <w:sz w:val="24"/>
          <w:szCs w:val="24"/>
        </w:rPr>
        <w:t>c</w:t>
      </w:r>
      <w:r w:rsidR="001256F1">
        <w:rPr>
          <w:sz w:val="24"/>
          <w:szCs w:val="24"/>
        </w:rPr>
        <w:t>o-morbidités</w:t>
      </w:r>
      <w:proofErr w:type="spellEnd"/>
      <w:r w:rsidR="001256F1">
        <w:rPr>
          <w:sz w:val="24"/>
          <w:szCs w:val="24"/>
        </w:rPr>
        <w:t xml:space="preserve"> physiques et psychiatriques).</w:t>
      </w:r>
    </w:p>
    <w:p w:rsidR="005A1432" w:rsidRDefault="004B6295">
      <w:pPr>
        <w:rPr>
          <w:sz w:val="24"/>
          <w:szCs w:val="24"/>
        </w:rPr>
      </w:pPr>
      <w:r>
        <w:rPr>
          <w:sz w:val="24"/>
          <w:szCs w:val="24"/>
        </w:rPr>
        <w:t xml:space="preserve">Le résident devrait pouvoir </w:t>
      </w:r>
      <w:r w:rsidR="00164869">
        <w:rPr>
          <w:sz w:val="24"/>
          <w:szCs w:val="24"/>
        </w:rPr>
        <w:t>initier, ajuster, optimiser</w:t>
      </w:r>
      <w:r>
        <w:rPr>
          <w:sz w:val="24"/>
          <w:szCs w:val="24"/>
        </w:rPr>
        <w:t xml:space="preserve"> les </w:t>
      </w:r>
      <w:r w:rsidR="00164869">
        <w:rPr>
          <w:sz w:val="24"/>
          <w:szCs w:val="24"/>
        </w:rPr>
        <w:t>psychostimulants et non psychostimulants (</w:t>
      </w:r>
      <w:proofErr w:type="spellStart"/>
      <w:r w:rsidR="00164869">
        <w:rPr>
          <w:sz w:val="24"/>
          <w:szCs w:val="24"/>
        </w:rPr>
        <w:t>atomoxétine</w:t>
      </w:r>
      <w:proofErr w:type="spellEnd"/>
      <w:r w:rsidR="00164869">
        <w:rPr>
          <w:sz w:val="24"/>
          <w:szCs w:val="24"/>
        </w:rPr>
        <w:t xml:space="preserve"> et </w:t>
      </w:r>
      <w:proofErr w:type="spellStart"/>
      <w:r w:rsidR="00164869">
        <w:rPr>
          <w:sz w:val="24"/>
          <w:szCs w:val="24"/>
        </w:rPr>
        <w:t>gaunfacine</w:t>
      </w:r>
      <w:proofErr w:type="spellEnd"/>
      <w:r w:rsidR="00164869">
        <w:rPr>
          <w:sz w:val="24"/>
          <w:szCs w:val="24"/>
        </w:rPr>
        <w:t xml:space="preserve"> XR) </w:t>
      </w:r>
      <w:r w:rsidR="001256F1">
        <w:rPr>
          <w:sz w:val="24"/>
          <w:szCs w:val="24"/>
        </w:rPr>
        <w:t>et effectuer le suivi</w:t>
      </w:r>
      <w:r w:rsidR="00A058E5">
        <w:rPr>
          <w:sz w:val="24"/>
          <w:szCs w:val="24"/>
        </w:rPr>
        <w:t xml:space="preserve"> </w:t>
      </w:r>
      <w:r w:rsidR="00AA1C5E">
        <w:rPr>
          <w:sz w:val="24"/>
          <w:szCs w:val="24"/>
        </w:rPr>
        <w:t xml:space="preserve">en </w:t>
      </w:r>
      <w:r w:rsidR="00A058E5">
        <w:rPr>
          <w:sz w:val="24"/>
          <w:szCs w:val="24"/>
        </w:rPr>
        <w:t xml:space="preserve">tenant compte des </w:t>
      </w:r>
      <w:r w:rsidR="00AA1C5E">
        <w:rPr>
          <w:sz w:val="24"/>
          <w:szCs w:val="24"/>
        </w:rPr>
        <w:t>caractéristiques du patie</w:t>
      </w:r>
      <w:r w:rsidR="005A1432">
        <w:rPr>
          <w:sz w:val="24"/>
          <w:szCs w:val="24"/>
        </w:rPr>
        <w:t>nt  (âge, co</w:t>
      </w:r>
      <w:r w:rsidR="00A058E5">
        <w:rPr>
          <w:sz w:val="24"/>
          <w:szCs w:val="24"/>
        </w:rPr>
        <w:t xml:space="preserve">morbidités psychiatriques et conditions médicales, </w:t>
      </w:r>
      <w:r w:rsidR="00AA1C5E">
        <w:rPr>
          <w:sz w:val="24"/>
          <w:szCs w:val="24"/>
        </w:rPr>
        <w:t>contre-indications médicales à l’usage d’un médicament donné, interactions médicamenteuses</w:t>
      </w:r>
      <w:r w:rsidR="005A1432">
        <w:rPr>
          <w:sz w:val="24"/>
          <w:szCs w:val="24"/>
        </w:rPr>
        <w:t>)</w:t>
      </w:r>
      <w:r w:rsidR="00A058E5">
        <w:rPr>
          <w:sz w:val="24"/>
          <w:szCs w:val="24"/>
        </w:rPr>
        <w:t xml:space="preserve"> et des </w:t>
      </w:r>
      <w:r w:rsidR="005A1432">
        <w:rPr>
          <w:sz w:val="24"/>
          <w:szCs w:val="24"/>
        </w:rPr>
        <w:t>caractéristiques pharmacologiques des différentes molécules utilisées (durée d’action, profil d’effets secondaires, couverture RAMQ</w:t>
      </w:r>
      <w:r w:rsidR="00C07938">
        <w:rPr>
          <w:sz w:val="24"/>
          <w:szCs w:val="24"/>
        </w:rPr>
        <w:t xml:space="preserve">.  </w:t>
      </w:r>
      <w:r w:rsidR="005A1432">
        <w:rPr>
          <w:sz w:val="24"/>
          <w:szCs w:val="24"/>
        </w:rPr>
        <w:t>)</w:t>
      </w:r>
    </w:p>
    <w:p w:rsidR="00A058E5" w:rsidRDefault="00A058E5">
      <w:pPr>
        <w:rPr>
          <w:sz w:val="24"/>
          <w:szCs w:val="24"/>
        </w:rPr>
      </w:pPr>
    </w:p>
    <w:p w:rsidR="00A058E5" w:rsidRDefault="001635A0">
      <w:pPr>
        <w:rPr>
          <w:sz w:val="24"/>
          <w:szCs w:val="24"/>
          <w:u w:val="single"/>
        </w:rPr>
      </w:pPr>
      <w:r>
        <w:rPr>
          <w:sz w:val="24"/>
          <w:szCs w:val="24"/>
          <w:u w:val="single"/>
        </w:rPr>
        <w:t>TDAH et TLU</w:t>
      </w:r>
    </w:p>
    <w:p w:rsidR="00E73D00" w:rsidRPr="00E73D00" w:rsidRDefault="00E73D00">
      <w:pPr>
        <w:rPr>
          <w:sz w:val="24"/>
          <w:szCs w:val="24"/>
        </w:rPr>
      </w:pPr>
      <w:r>
        <w:rPr>
          <w:sz w:val="24"/>
          <w:szCs w:val="24"/>
        </w:rPr>
        <w:t>Beaucoup de questions demeurent sans réponse en ce qui a trait aux liens entre TDAH et TLU.  Des études ont démontré que les sujets atteints de TDAH auraient plus de risque de souffrir d’un TL</w:t>
      </w:r>
      <w:r w:rsidR="004E28F2">
        <w:rPr>
          <w:sz w:val="24"/>
          <w:szCs w:val="24"/>
        </w:rPr>
        <w:t xml:space="preserve">U à vie.  </w:t>
      </w:r>
      <w:bookmarkStart w:id="0" w:name="_GoBack"/>
      <w:bookmarkEnd w:id="0"/>
      <w:r w:rsidR="004E28F2">
        <w:rPr>
          <w:sz w:val="24"/>
          <w:szCs w:val="24"/>
        </w:rPr>
        <w:t xml:space="preserve">Quant à </w:t>
      </w:r>
    </w:p>
    <w:p w:rsidR="001256F1" w:rsidRDefault="00A058E5">
      <w:pPr>
        <w:rPr>
          <w:sz w:val="24"/>
          <w:szCs w:val="24"/>
        </w:rPr>
      </w:pPr>
      <w:r>
        <w:rPr>
          <w:sz w:val="24"/>
          <w:szCs w:val="24"/>
        </w:rPr>
        <w:t>Sel</w:t>
      </w:r>
      <w:r w:rsidR="00DB4B06">
        <w:rPr>
          <w:sz w:val="24"/>
          <w:szCs w:val="24"/>
        </w:rPr>
        <w:t>on une étude</w:t>
      </w:r>
      <w:r>
        <w:rPr>
          <w:sz w:val="24"/>
          <w:szCs w:val="24"/>
        </w:rPr>
        <w:t xml:space="preserve"> citée </w:t>
      </w:r>
      <w:r w:rsidR="00DB4B06">
        <w:rPr>
          <w:sz w:val="24"/>
          <w:szCs w:val="24"/>
        </w:rPr>
        <w:t xml:space="preserve"> le CADDRA, 11% des patients auraient vendu leur médicaments et 22% en aurait abusé (groupe contrôle 5%).  Les patients ayant  présenté o</w:t>
      </w:r>
      <w:r w:rsidR="001635A0">
        <w:rPr>
          <w:sz w:val="24"/>
          <w:szCs w:val="24"/>
        </w:rPr>
        <w:t>u présentant activement</w:t>
      </w:r>
      <w:r w:rsidR="00DB4B06">
        <w:rPr>
          <w:sz w:val="24"/>
          <w:szCs w:val="24"/>
        </w:rPr>
        <w:t xml:space="preserve"> des problèmes de toxicomanie ou présentant </w:t>
      </w:r>
      <w:r w:rsidR="001256F1">
        <w:rPr>
          <w:sz w:val="24"/>
          <w:szCs w:val="24"/>
        </w:rPr>
        <w:t xml:space="preserve">des troubles des conduite ou un trouble de personnalité limite sont plus à risque de développer un usage erroné des psychostimulants.  Par contre la controverse persiste sur le lien entre le traitement du </w:t>
      </w:r>
      <w:r w:rsidR="001635A0">
        <w:rPr>
          <w:sz w:val="24"/>
          <w:szCs w:val="24"/>
        </w:rPr>
        <w:t xml:space="preserve">TDAH et l’usage des substances.  </w:t>
      </w:r>
      <w:r w:rsidR="001256F1">
        <w:rPr>
          <w:sz w:val="24"/>
          <w:szCs w:val="24"/>
        </w:rPr>
        <w:t xml:space="preserve"> La marijuana serait la substance la plus sou</w:t>
      </w:r>
      <w:r w:rsidR="001635A0">
        <w:rPr>
          <w:sz w:val="24"/>
          <w:szCs w:val="24"/>
        </w:rPr>
        <w:t>vent impliquée chez ces patients</w:t>
      </w:r>
      <w:r w:rsidR="001256F1">
        <w:rPr>
          <w:sz w:val="24"/>
          <w:szCs w:val="24"/>
        </w:rPr>
        <w:t>, avant la cocaïne.</w:t>
      </w:r>
    </w:p>
    <w:p w:rsidR="00E73D00" w:rsidRDefault="001256F1">
      <w:pPr>
        <w:rPr>
          <w:sz w:val="24"/>
          <w:szCs w:val="24"/>
        </w:rPr>
      </w:pPr>
      <w:r>
        <w:rPr>
          <w:sz w:val="24"/>
          <w:szCs w:val="24"/>
        </w:rPr>
        <w:t>La conduite proposée</w:t>
      </w:r>
      <w:r w:rsidR="001635A0">
        <w:rPr>
          <w:sz w:val="24"/>
          <w:szCs w:val="24"/>
        </w:rPr>
        <w:t xml:space="preserve"> par le CADDRA</w:t>
      </w:r>
      <w:r>
        <w:rPr>
          <w:sz w:val="24"/>
          <w:szCs w:val="24"/>
        </w:rPr>
        <w:t xml:space="preserve"> (basée sur un consensus d’experts) en cas de comorb</w:t>
      </w:r>
      <w:r w:rsidR="001635A0">
        <w:rPr>
          <w:sz w:val="24"/>
          <w:szCs w:val="24"/>
        </w:rPr>
        <w:t>idité TDAH et TLU</w:t>
      </w:r>
      <w:r>
        <w:rPr>
          <w:sz w:val="24"/>
          <w:szCs w:val="24"/>
        </w:rPr>
        <w:t xml:space="preserve"> est de stabiliser ce dernier avant d’entreprendre un traitement pharmacologique. </w:t>
      </w:r>
    </w:p>
    <w:p w:rsidR="00A058E5" w:rsidRDefault="00E73D00">
      <w:pPr>
        <w:rPr>
          <w:sz w:val="24"/>
          <w:szCs w:val="24"/>
        </w:rPr>
      </w:pPr>
      <w:r>
        <w:rPr>
          <w:sz w:val="24"/>
          <w:szCs w:val="24"/>
        </w:rPr>
        <w:t xml:space="preserve">La SAHMSA pour sa part souligne l’absence de lignes directrices pour la conduite à tenir en cas de </w:t>
      </w:r>
      <w:proofErr w:type="spellStart"/>
      <w:r>
        <w:rPr>
          <w:sz w:val="24"/>
          <w:szCs w:val="24"/>
        </w:rPr>
        <w:t>co-morbidité</w:t>
      </w:r>
      <w:proofErr w:type="spellEnd"/>
      <w:r>
        <w:rPr>
          <w:sz w:val="24"/>
          <w:szCs w:val="24"/>
        </w:rPr>
        <w:t xml:space="preserve"> TDAH et TLU.  </w:t>
      </w:r>
    </w:p>
    <w:p w:rsidR="00E73D00" w:rsidRPr="00A058E5" w:rsidRDefault="00E73D00">
      <w:pPr>
        <w:rPr>
          <w:sz w:val="24"/>
          <w:szCs w:val="24"/>
        </w:rPr>
      </w:pPr>
      <w:proofErr w:type="gramStart"/>
      <w:r>
        <w:rPr>
          <w:sz w:val="24"/>
          <w:szCs w:val="24"/>
        </w:rPr>
        <w:t>Le liens</w:t>
      </w:r>
      <w:proofErr w:type="gramEnd"/>
      <w:r>
        <w:rPr>
          <w:sz w:val="24"/>
          <w:szCs w:val="24"/>
        </w:rPr>
        <w:t xml:space="preserve"> entre TDAH et TLU sont complexes et </w:t>
      </w:r>
    </w:p>
    <w:p w:rsidR="00A058E5" w:rsidRDefault="00A058E5">
      <w:pPr>
        <w:rPr>
          <w:sz w:val="24"/>
          <w:szCs w:val="24"/>
        </w:rPr>
      </w:pPr>
    </w:p>
    <w:p w:rsidR="00A058E5" w:rsidRDefault="00A058E5">
      <w:pPr>
        <w:rPr>
          <w:sz w:val="24"/>
          <w:szCs w:val="24"/>
        </w:rPr>
      </w:pPr>
    </w:p>
    <w:p w:rsidR="00A058E5" w:rsidRDefault="00A058E5">
      <w:pPr>
        <w:rPr>
          <w:sz w:val="24"/>
          <w:szCs w:val="24"/>
        </w:rPr>
      </w:pPr>
    </w:p>
    <w:p w:rsidR="00A058E5" w:rsidRDefault="00A058E5">
      <w:pPr>
        <w:rPr>
          <w:sz w:val="24"/>
          <w:szCs w:val="24"/>
        </w:rPr>
      </w:pPr>
    </w:p>
    <w:p w:rsidR="005A1432" w:rsidRPr="004B6295" w:rsidRDefault="005A1432">
      <w:pPr>
        <w:rPr>
          <w:sz w:val="24"/>
          <w:szCs w:val="24"/>
        </w:rPr>
      </w:pPr>
    </w:p>
    <w:p w:rsidR="00E14D77" w:rsidRDefault="00E14D77">
      <w:pPr>
        <w:rPr>
          <w:sz w:val="24"/>
          <w:szCs w:val="24"/>
        </w:rPr>
      </w:pPr>
    </w:p>
    <w:p w:rsidR="00E14D77" w:rsidRPr="00B8666D" w:rsidRDefault="00E14D77">
      <w:pPr>
        <w:rPr>
          <w:sz w:val="24"/>
          <w:szCs w:val="24"/>
        </w:rPr>
      </w:pPr>
    </w:p>
    <w:p w:rsidR="005A1432" w:rsidRDefault="005A1432">
      <w:pPr>
        <w:rPr>
          <w:sz w:val="24"/>
          <w:szCs w:val="24"/>
          <w:u w:val="single"/>
        </w:rPr>
      </w:pPr>
    </w:p>
    <w:p w:rsidR="005A1432" w:rsidRDefault="005A1432">
      <w:pPr>
        <w:rPr>
          <w:sz w:val="24"/>
          <w:szCs w:val="24"/>
          <w:u w:val="single"/>
        </w:rPr>
      </w:pPr>
    </w:p>
    <w:p w:rsidR="005A1432" w:rsidRDefault="005A1432">
      <w:pPr>
        <w:rPr>
          <w:sz w:val="24"/>
          <w:szCs w:val="24"/>
          <w:u w:val="single"/>
        </w:rPr>
      </w:pPr>
    </w:p>
    <w:p w:rsidR="005A1432" w:rsidRDefault="005A1432">
      <w:pPr>
        <w:rPr>
          <w:sz w:val="24"/>
          <w:szCs w:val="24"/>
          <w:u w:val="single"/>
        </w:rPr>
      </w:pPr>
    </w:p>
    <w:p w:rsidR="005A1432" w:rsidRDefault="005A1432">
      <w:pPr>
        <w:rPr>
          <w:sz w:val="24"/>
          <w:szCs w:val="24"/>
          <w:u w:val="single"/>
        </w:rPr>
      </w:pPr>
    </w:p>
    <w:p w:rsidR="00B8666D" w:rsidRDefault="005A1432">
      <w:pPr>
        <w:rPr>
          <w:sz w:val="24"/>
          <w:szCs w:val="24"/>
          <w:u w:val="single"/>
        </w:rPr>
      </w:pPr>
      <w:r>
        <w:rPr>
          <w:sz w:val="24"/>
          <w:szCs w:val="24"/>
          <w:u w:val="single"/>
        </w:rPr>
        <w:t>Références</w:t>
      </w:r>
    </w:p>
    <w:p w:rsidR="005A1432" w:rsidRDefault="005A1432">
      <w:pPr>
        <w:rPr>
          <w:sz w:val="24"/>
          <w:szCs w:val="24"/>
        </w:rPr>
      </w:pPr>
      <w:r>
        <w:rPr>
          <w:sz w:val="24"/>
          <w:szCs w:val="24"/>
        </w:rPr>
        <w:t>PBAP enfant 2008</w:t>
      </w:r>
    </w:p>
    <w:p w:rsidR="005A1432" w:rsidRDefault="005A1432">
      <w:pPr>
        <w:rPr>
          <w:sz w:val="24"/>
          <w:szCs w:val="24"/>
        </w:rPr>
      </w:pPr>
      <w:r>
        <w:rPr>
          <w:sz w:val="24"/>
          <w:szCs w:val="24"/>
        </w:rPr>
        <w:t>PBAP adulte 2009</w:t>
      </w:r>
    </w:p>
    <w:p w:rsidR="00C07938" w:rsidRPr="00C94F0C" w:rsidRDefault="00C07938">
      <w:pPr>
        <w:rPr>
          <w:sz w:val="24"/>
          <w:szCs w:val="24"/>
          <w:lang w:val="en-CA"/>
        </w:rPr>
      </w:pPr>
      <w:r w:rsidRPr="00C94F0C">
        <w:rPr>
          <w:sz w:val="24"/>
          <w:szCs w:val="24"/>
          <w:lang w:val="en-CA"/>
        </w:rPr>
        <w:t>DSM 5</w:t>
      </w:r>
    </w:p>
    <w:p w:rsidR="005A1432" w:rsidRDefault="005A1432">
      <w:pPr>
        <w:rPr>
          <w:sz w:val="24"/>
          <w:szCs w:val="24"/>
          <w:lang w:val="en-CA"/>
        </w:rPr>
      </w:pPr>
      <w:r w:rsidRPr="005A1432">
        <w:rPr>
          <w:sz w:val="24"/>
          <w:szCs w:val="24"/>
          <w:u w:val="single"/>
          <w:lang w:val="en-CA"/>
        </w:rPr>
        <w:t>Clinical Han</w:t>
      </w:r>
      <w:r w:rsidR="001256F1">
        <w:rPr>
          <w:sz w:val="24"/>
          <w:szCs w:val="24"/>
          <w:u w:val="single"/>
          <w:lang w:val="en-CA"/>
        </w:rPr>
        <w:t>d</w:t>
      </w:r>
      <w:r w:rsidRPr="005A1432">
        <w:rPr>
          <w:sz w:val="24"/>
          <w:szCs w:val="24"/>
          <w:u w:val="single"/>
          <w:lang w:val="en-CA"/>
        </w:rPr>
        <w:t>book of Psychotropic drugs</w:t>
      </w:r>
      <w:r>
        <w:rPr>
          <w:sz w:val="24"/>
          <w:szCs w:val="24"/>
          <w:lang w:val="en-CA"/>
        </w:rPr>
        <w:t xml:space="preserve">, 19 rev. ed., </w:t>
      </w:r>
      <w:proofErr w:type="spellStart"/>
      <w:r>
        <w:rPr>
          <w:sz w:val="24"/>
          <w:szCs w:val="24"/>
          <w:lang w:val="en-CA"/>
        </w:rPr>
        <w:t>Adil</w:t>
      </w:r>
      <w:proofErr w:type="spellEnd"/>
      <w:r>
        <w:rPr>
          <w:sz w:val="24"/>
          <w:szCs w:val="24"/>
          <w:lang w:val="en-CA"/>
        </w:rPr>
        <w:t xml:space="preserve"> et al, </w:t>
      </w:r>
      <w:proofErr w:type="spellStart"/>
      <w:r>
        <w:rPr>
          <w:sz w:val="24"/>
          <w:szCs w:val="24"/>
          <w:lang w:val="en-CA"/>
        </w:rPr>
        <w:t>Hogrefe</w:t>
      </w:r>
      <w:proofErr w:type="spellEnd"/>
      <w:r>
        <w:rPr>
          <w:sz w:val="24"/>
          <w:szCs w:val="24"/>
          <w:lang w:val="en-CA"/>
        </w:rPr>
        <w:t>, 2012</w:t>
      </w:r>
    </w:p>
    <w:p w:rsidR="005A1432" w:rsidRPr="00C94F0C" w:rsidRDefault="001635A0">
      <w:pPr>
        <w:rPr>
          <w:sz w:val="24"/>
          <w:szCs w:val="24"/>
          <w:u w:val="single"/>
        </w:rPr>
      </w:pPr>
      <w:r>
        <w:rPr>
          <w:sz w:val="24"/>
          <w:szCs w:val="24"/>
          <w:u w:val="single"/>
        </w:rPr>
        <w:t>www.caddra.com</w:t>
      </w:r>
    </w:p>
    <w:p w:rsidR="005A1432" w:rsidRPr="00C94F0C" w:rsidRDefault="005A1432">
      <w:pPr>
        <w:rPr>
          <w:sz w:val="24"/>
          <w:szCs w:val="24"/>
          <w:u w:val="single"/>
        </w:rPr>
      </w:pPr>
      <w:r w:rsidRPr="00C94F0C">
        <w:rPr>
          <w:sz w:val="24"/>
          <w:szCs w:val="24"/>
          <w:u w:val="single"/>
        </w:rPr>
        <w:t>NICE</w:t>
      </w:r>
    </w:p>
    <w:p w:rsidR="001256F1" w:rsidRPr="001635A0" w:rsidRDefault="001635A0">
      <w:pPr>
        <w:rPr>
          <w:sz w:val="24"/>
          <w:szCs w:val="24"/>
        </w:rPr>
      </w:pPr>
      <w:r>
        <w:rPr>
          <w:sz w:val="24"/>
          <w:szCs w:val="24"/>
          <w:u w:val="single"/>
        </w:rPr>
        <w:t>Le médecin du Québec</w:t>
      </w:r>
      <w:r>
        <w:rPr>
          <w:sz w:val="24"/>
          <w:szCs w:val="24"/>
        </w:rPr>
        <w:t>, avril 2013, Vol 48, no 8</w:t>
      </w:r>
    </w:p>
    <w:p w:rsidR="00C07938" w:rsidRDefault="00C07938">
      <w:pPr>
        <w:rPr>
          <w:sz w:val="24"/>
          <w:szCs w:val="24"/>
        </w:rPr>
      </w:pPr>
      <w:r w:rsidRPr="00C07938">
        <w:rPr>
          <w:sz w:val="24"/>
          <w:szCs w:val="24"/>
          <w:u w:val="single"/>
        </w:rPr>
        <w:t xml:space="preserve">Usage abusif </w:t>
      </w:r>
      <w:r>
        <w:rPr>
          <w:sz w:val="24"/>
          <w:szCs w:val="24"/>
          <w:u w:val="single"/>
        </w:rPr>
        <w:t xml:space="preserve">et détournement de substances </w:t>
      </w:r>
      <w:proofErr w:type="gramStart"/>
      <w:r>
        <w:rPr>
          <w:sz w:val="24"/>
          <w:szCs w:val="24"/>
          <w:u w:val="single"/>
        </w:rPr>
        <w:t>désignées ,</w:t>
      </w:r>
      <w:proofErr w:type="gramEnd"/>
      <w:r>
        <w:rPr>
          <w:sz w:val="24"/>
          <w:szCs w:val="24"/>
          <w:u w:val="single"/>
        </w:rPr>
        <w:t xml:space="preserve"> un guide pour les professionnels de la santé,</w:t>
      </w:r>
      <w:r>
        <w:rPr>
          <w:sz w:val="24"/>
          <w:szCs w:val="24"/>
        </w:rPr>
        <w:t xml:space="preserve">  </w:t>
      </w:r>
      <w:r w:rsidR="001635A0">
        <w:rPr>
          <w:sz w:val="24"/>
          <w:szCs w:val="24"/>
        </w:rPr>
        <w:t xml:space="preserve">Santé Canada, </w:t>
      </w:r>
      <w:r>
        <w:rPr>
          <w:sz w:val="24"/>
          <w:szCs w:val="24"/>
        </w:rPr>
        <w:t>2006</w:t>
      </w:r>
    </w:p>
    <w:p w:rsidR="001635A0" w:rsidRPr="001635A0" w:rsidRDefault="001635A0">
      <w:pPr>
        <w:rPr>
          <w:sz w:val="24"/>
          <w:szCs w:val="24"/>
          <w:lang w:val="en-CA"/>
        </w:rPr>
      </w:pPr>
      <w:r w:rsidRPr="001635A0">
        <w:rPr>
          <w:sz w:val="24"/>
          <w:szCs w:val="24"/>
          <w:u w:val="single"/>
          <w:lang w:val="en-CA"/>
        </w:rPr>
        <w:t>Adult with attention deficit hyperactivity disorder and substance use disorder</w:t>
      </w:r>
      <w:r>
        <w:rPr>
          <w:sz w:val="24"/>
          <w:szCs w:val="24"/>
          <w:lang w:val="en-CA"/>
        </w:rPr>
        <w:t>, www.SAMHSA.gov</w:t>
      </w:r>
    </w:p>
    <w:p w:rsidR="005A1432" w:rsidRPr="001635A0" w:rsidRDefault="005A1432">
      <w:pPr>
        <w:rPr>
          <w:sz w:val="24"/>
          <w:szCs w:val="24"/>
          <w:lang w:val="en-CA"/>
        </w:rPr>
      </w:pPr>
    </w:p>
    <w:p w:rsidR="00B8666D" w:rsidRPr="001635A0" w:rsidRDefault="00B8666D">
      <w:pPr>
        <w:rPr>
          <w:sz w:val="24"/>
          <w:szCs w:val="24"/>
          <w:u w:val="single"/>
          <w:lang w:val="en-CA"/>
        </w:rPr>
      </w:pPr>
    </w:p>
    <w:p w:rsidR="00B8666D" w:rsidRPr="001635A0" w:rsidRDefault="00B8666D">
      <w:pPr>
        <w:rPr>
          <w:sz w:val="24"/>
          <w:szCs w:val="24"/>
          <w:lang w:val="en-CA"/>
        </w:rPr>
      </w:pPr>
      <w:r w:rsidRPr="001635A0">
        <w:rPr>
          <w:sz w:val="24"/>
          <w:szCs w:val="24"/>
          <w:lang w:val="en-CA"/>
        </w:rPr>
        <w:t xml:space="preserve">                  </w:t>
      </w:r>
    </w:p>
    <w:p w:rsidR="00B8666D" w:rsidRPr="001635A0" w:rsidRDefault="00B8666D">
      <w:pPr>
        <w:rPr>
          <w:sz w:val="24"/>
          <w:szCs w:val="24"/>
          <w:lang w:val="en-CA"/>
        </w:rPr>
      </w:pPr>
    </w:p>
    <w:p w:rsidR="00B8666D" w:rsidRPr="001635A0" w:rsidRDefault="00B8666D">
      <w:pPr>
        <w:rPr>
          <w:sz w:val="24"/>
          <w:szCs w:val="24"/>
          <w:lang w:val="en-CA"/>
        </w:rPr>
      </w:pPr>
      <w:r w:rsidRPr="001635A0">
        <w:rPr>
          <w:sz w:val="24"/>
          <w:szCs w:val="24"/>
          <w:lang w:val="en-CA"/>
        </w:rPr>
        <w:t xml:space="preserve">               </w:t>
      </w:r>
    </w:p>
    <w:p w:rsidR="00561EE4" w:rsidRPr="001635A0" w:rsidRDefault="00561EE4">
      <w:pPr>
        <w:rPr>
          <w:sz w:val="24"/>
          <w:szCs w:val="24"/>
          <w:lang w:val="en-CA"/>
        </w:rPr>
      </w:pPr>
    </w:p>
    <w:p w:rsidR="00561EE4" w:rsidRPr="001635A0" w:rsidRDefault="00561EE4">
      <w:pPr>
        <w:rPr>
          <w:sz w:val="24"/>
          <w:szCs w:val="24"/>
          <w:lang w:val="en-CA"/>
        </w:rPr>
      </w:pPr>
    </w:p>
    <w:p w:rsidR="00561EE4" w:rsidRPr="001635A0" w:rsidRDefault="00561EE4">
      <w:pPr>
        <w:rPr>
          <w:sz w:val="24"/>
          <w:szCs w:val="24"/>
          <w:lang w:val="en-CA"/>
        </w:rPr>
      </w:pPr>
    </w:p>
    <w:p w:rsidR="00561EE4" w:rsidRPr="001635A0" w:rsidRDefault="00561EE4">
      <w:pPr>
        <w:rPr>
          <w:sz w:val="24"/>
          <w:szCs w:val="24"/>
          <w:lang w:val="en-CA"/>
        </w:rPr>
      </w:pPr>
    </w:p>
    <w:p w:rsidR="006E0760" w:rsidRPr="001635A0" w:rsidRDefault="006E0760">
      <w:pPr>
        <w:rPr>
          <w:sz w:val="24"/>
          <w:szCs w:val="24"/>
          <w:lang w:val="en-CA"/>
        </w:rPr>
      </w:pPr>
    </w:p>
    <w:p w:rsidR="006E0760" w:rsidRPr="001635A0" w:rsidRDefault="006E0760">
      <w:pPr>
        <w:rPr>
          <w:sz w:val="24"/>
          <w:szCs w:val="24"/>
          <w:lang w:val="en-CA"/>
        </w:rPr>
      </w:pPr>
    </w:p>
    <w:p w:rsidR="00AF7569" w:rsidRPr="001635A0" w:rsidRDefault="005B3E45">
      <w:pPr>
        <w:rPr>
          <w:sz w:val="24"/>
          <w:szCs w:val="24"/>
          <w:lang w:val="en-CA"/>
        </w:rPr>
      </w:pPr>
      <w:r w:rsidRPr="001635A0">
        <w:rPr>
          <w:sz w:val="24"/>
          <w:szCs w:val="24"/>
          <w:lang w:val="en-CA"/>
        </w:rPr>
        <w:t xml:space="preserve"> </w:t>
      </w:r>
    </w:p>
    <w:sectPr w:rsidR="00AF7569" w:rsidRPr="001635A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569"/>
    <w:rsid w:val="00046900"/>
    <w:rsid w:val="0005260F"/>
    <w:rsid w:val="001256F1"/>
    <w:rsid w:val="00161A21"/>
    <w:rsid w:val="001635A0"/>
    <w:rsid w:val="00164869"/>
    <w:rsid w:val="001822B8"/>
    <w:rsid w:val="002E1598"/>
    <w:rsid w:val="004B6295"/>
    <w:rsid w:val="004E28F2"/>
    <w:rsid w:val="00561EE4"/>
    <w:rsid w:val="005A1432"/>
    <w:rsid w:val="005B3E45"/>
    <w:rsid w:val="005B5DD8"/>
    <w:rsid w:val="00644DA8"/>
    <w:rsid w:val="006E0760"/>
    <w:rsid w:val="00826DE2"/>
    <w:rsid w:val="0088287E"/>
    <w:rsid w:val="009124D6"/>
    <w:rsid w:val="00A058E5"/>
    <w:rsid w:val="00AA1C5E"/>
    <w:rsid w:val="00AF7569"/>
    <w:rsid w:val="00B3374E"/>
    <w:rsid w:val="00B8666D"/>
    <w:rsid w:val="00C07938"/>
    <w:rsid w:val="00C41883"/>
    <w:rsid w:val="00C94F0C"/>
    <w:rsid w:val="00DB4B06"/>
    <w:rsid w:val="00E14D77"/>
    <w:rsid w:val="00E73D00"/>
    <w:rsid w:val="00FE6EB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3E5FF6-A368-4FE0-B720-9356FB0A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B8666D"/>
    <w:rPr>
      <w:sz w:val="16"/>
      <w:szCs w:val="16"/>
    </w:rPr>
  </w:style>
  <w:style w:type="paragraph" w:styleId="Commentaire">
    <w:name w:val="annotation text"/>
    <w:basedOn w:val="Normal"/>
    <w:link w:val="CommentaireCar"/>
    <w:uiPriority w:val="99"/>
    <w:semiHidden/>
    <w:unhideWhenUsed/>
    <w:rsid w:val="00B8666D"/>
    <w:pPr>
      <w:spacing w:line="240" w:lineRule="auto"/>
    </w:pPr>
    <w:rPr>
      <w:sz w:val="20"/>
      <w:szCs w:val="20"/>
    </w:rPr>
  </w:style>
  <w:style w:type="character" w:customStyle="1" w:styleId="CommentaireCar">
    <w:name w:val="Commentaire Car"/>
    <w:basedOn w:val="Policepardfaut"/>
    <w:link w:val="Commentaire"/>
    <w:uiPriority w:val="99"/>
    <w:semiHidden/>
    <w:rsid w:val="00B8666D"/>
    <w:rPr>
      <w:sz w:val="20"/>
      <w:szCs w:val="20"/>
    </w:rPr>
  </w:style>
  <w:style w:type="paragraph" w:styleId="Objetducommentaire">
    <w:name w:val="annotation subject"/>
    <w:basedOn w:val="Commentaire"/>
    <w:next w:val="Commentaire"/>
    <w:link w:val="ObjetducommentaireCar"/>
    <w:uiPriority w:val="99"/>
    <w:semiHidden/>
    <w:unhideWhenUsed/>
    <w:rsid w:val="00B8666D"/>
    <w:rPr>
      <w:b/>
      <w:bCs/>
    </w:rPr>
  </w:style>
  <w:style w:type="character" w:customStyle="1" w:styleId="ObjetducommentaireCar">
    <w:name w:val="Objet du commentaire Car"/>
    <w:basedOn w:val="CommentaireCar"/>
    <w:link w:val="Objetducommentaire"/>
    <w:uiPriority w:val="99"/>
    <w:semiHidden/>
    <w:rsid w:val="00B8666D"/>
    <w:rPr>
      <w:b/>
      <w:bCs/>
      <w:sz w:val="20"/>
      <w:szCs w:val="20"/>
    </w:rPr>
  </w:style>
  <w:style w:type="paragraph" w:styleId="Textedebulles">
    <w:name w:val="Balloon Text"/>
    <w:basedOn w:val="Normal"/>
    <w:link w:val="TextedebullesCar"/>
    <w:uiPriority w:val="99"/>
    <w:semiHidden/>
    <w:unhideWhenUsed/>
    <w:rsid w:val="00B8666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866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4404A-50D3-4509-9478-D31480F1D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1662</TotalTime>
  <Pages>5</Pages>
  <Words>1134</Words>
  <Characters>6237</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Joyal</dc:creator>
  <cp:keywords/>
  <dc:description/>
  <cp:lastModifiedBy>Marie Joyal</cp:lastModifiedBy>
  <cp:revision>7</cp:revision>
  <dcterms:created xsi:type="dcterms:W3CDTF">2016-02-18T15:37:00Z</dcterms:created>
  <dcterms:modified xsi:type="dcterms:W3CDTF">2016-03-19T13:26:00Z</dcterms:modified>
</cp:coreProperties>
</file>