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BBC8DF" w14:textId="77777777" w:rsidR="000335BF" w:rsidRDefault="00357458">
      <w:pPr>
        <w:rPr>
          <w:rFonts w:ascii="Arial" w:hAnsi="Arial"/>
          <w:b/>
          <w:u w:val="single"/>
        </w:rPr>
      </w:pPr>
      <w:r w:rsidRPr="00357458">
        <w:rPr>
          <w:rFonts w:ascii="Arial" w:hAnsi="Arial"/>
          <w:b/>
          <w:u w:val="single"/>
        </w:rPr>
        <w:t>Prise en charge d’un patient avec le potentiel d’un trouble lié à l’usage de substance</w:t>
      </w:r>
    </w:p>
    <w:p w14:paraId="74DE568D" w14:textId="77777777" w:rsidR="001639AF" w:rsidRDefault="001639AF">
      <w:pPr>
        <w:rPr>
          <w:rFonts w:ascii="Arial" w:hAnsi="Arial"/>
          <w:b/>
          <w:u w:val="single"/>
        </w:rPr>
      </w:pPr>
    </w:p>
    <w:p w14:paraId="10AB60ED" w14:textId="77777777" w:rsidR="001639AF" w:rsidRDefault="001639AF">
      <w:pPr>
        <w:rPr>
          <w:rFonts w:ascii="Arial" w:hAnsi="Arial"/>
          <w:b/>
          <w:u w:val="single"/>
        </w:rPr>
      </w:pPr>
    </w:p>
    <w:p w14:paraId="1BE57662" w14:textId="77777777" w:rsidR="001639AF" w:rsidRDefault="001639AF" w:rsidP="001639AF">
      <w:pPr>
        <w:rPr>
          <w:rFonts w:ascii="Arial" w:hAnsi="Arial"/>
        </w:rPr>
      </w:pPr>
      <w:r>
        <w:rPr>
          <w:rFonts w:ascii="Arial" w:hAnsi="Arial"/>
        </w:rPr>
        <w:t>Aborder la question de prise d’alcool ou autres substances doit être fait de façon neutre, sans jugement. La personne peut consulter car elle cherche de l’aide pour son TLU, ou encore, l’évidence de TLU survient lors d’une hospitalisation pour tout autre problème, ou lors d’un dépistage urinaire de drogue de rues pour un emploi ou pour une assurance. Une façon simple est de demander leur consommation d’alcool ou autre substances dans la dernière année, et d’expliciter les réponses affirmatives.</w:t>
      </w:r>
      <w:r>
        <w:rPr>
          <w:rFonts w:ascii="Arial" w:hAnsi="Arial"/>
        </w:rPr>
        <w:fldChar w:fldCharType="begin">
          <w:fldData xml:space="preserve">PEVuZE5vdGU+PENpdGU+PEF1dGhvcj5TbWl0aDwvQXV0aG9yPjxZZWFyPjIwMTA8L1llYXI+PFJl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</w:fldData>
        </w:fldChar>
      </w:r>
      <w:r>
        <w:rPr>
          <w:rFonts w:ascii="Arial" w:hAnsi="Arial"/>
        </w:rPr>
        <w:instrText xml:space="preserve"> ADDIN EN.CITE </w:instrText>
      </w:r>
      <w:r>
        <w:rPr>
          <w:rFonts w:ascii="Arial" w:hAnsi="Arial"/>
        </w:rPr>
        <w:fldChar w:fldCharType="begin">
          <w:fldData xml:space="preserve">PEVuZE5vdGU+PENpdGU+PEF1dGhvcj5TbWl0aDwvQXV0aG9yPjxZZWFyPjIwMTA8L1llYXI+PFJl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</w:fldData>
        </w:fldChar>
      </w:r>
      <w:r>
        <w:rPr>
          <w:rFonts w:ascii="Arial" w:hAnsi="Arial"/>
        </w:rPr>
        <w:instrText xml:space="preserve"> ADDIN EN.CITE.DATA </w:instrText>
      </w:r>
      <w:r>
        <w:rPr>
          <w:rFonts w:ascii="Arial" w:hAnsi="Arial"/>
        </w:rPr>
      </w:r>
      <w:r>
        <w:rPr>
          <w:rFonts w:ascii="Arial" w:hAnsi="Arial"/>
        </w:rPr>
        <w:fldChar w:fldCharType="end"/>
      </w:r>
      <w:r>
        <w:rPr>
          <w:rFonts w:ascii="Arial" w:hAnsi="Arial"/>
        </w:rPr>
      </w:r>
      <w:r>
        <w:rPr>
          <w:rFonts w:ascii="Arial" w:hAnsi="Arial"/>
        </w:rPr>
        <w:fldChar w:fldCharType="separate"/>
      </w:r>
      <w:r w:rsidRPr="00BA14DA">
        <w:rPr>
          <w:rFonts w:ascii="Arial" w:hAnsi="Arial"/>
          <w:noProof/>
          <w:vertAlign w:val="superscript"/>
        </w:rPr>
        <w:t>1</w:t>
      </w:r>
      <w:r>
        <w:rPr>
          <w:rFonts w:ascii="Arial" w:hAnsi="Arial"/>
        </w:rPr>
        <w:fldChar w:fldCharType="end"/>
      </w:r>
    </w:p>
    <w:p w14:paraId="62AC1823" w14:textId="77777777" w:rsidR="001639AF" w:rsidRPr="001639AF" w:rsidRDefault="001639AF">
      <w:pPr>
        <w:rPr>
          <w:rFonts w:ascii="Arial" w:hAnsi="Arial"/>
        </w:rPr>
      </w:pPr>
    </w:p>
    <w:p w14:paraId="7F26EEAC" w14:textId="1736BCE5" w:rsidR="001639AF" w:rsidRPr="001639AF" w:rsidRDefault="001639AF">
      <w:pPr>
        <w:rPr>
          <w:rFonts w:ascii="Arial" w:hAnsi="Arial"/>
        </w:rPr>
      </w:pPr>
      <w:r>
        <w:rPr>
          <w:rFonts w:ascii="Arial" w:hAnsi="Arial"/>
        </w:rPr>
        <w:t>Il est important d’établir un diagnostic afin de pouvoir traiter et accompagner votre patient. Pour déterminer le diagnostic d’un trouble lié à l’usage d’une substance, il faut se référer au DSM-5.</w:t>
      </w:r>
    </w:p>
    <w:p w14:paraId="139F3546" w14:textId="77777777" w:rsidR="001639AF" w:rsidRPr="001639AF" w:rsidRDefault="001639AF">
      <w:pPr>
        <w:rPr>
          <w:rFonts w:ascii="Arial" w:hAnsi="Arial"/>
        </w:rPr>
      </w:pPr>
    </w:p>
    <w:p w14:paraId="47226386" w14:textId="77777777" w:rsidR="009930F2" w:rsidRDefault="009930F2">
      <w:pPr>
        <w:rPr>
          <w:rFonts w:ascii="Arial" w:hAnsi="Arial"/>
        </w:rPr>
      </w:pPr>
    </w:p>
    <w:p w14:paraId="105F58AA" w14:textId="41FB33D3" w:rsidR="00355509" w:rsidRPr="00355509" w:rsidRDefault="00355509">
      <w:pPr>
        <w:rPr>
          <w:rFonts w:ascii="Arial" w:hAnsi="Arial"/>
          <w:u w:val="single"/>
        </w:rPr>
      </w:pPr>
      <w:r w:rsidRPr="00355509">
        <w:rPr>
          <w:rFonts w:ascii="Arial" w:hAnsi="Arial"/>
          <w:u w:val="single"/>
        </w:rPr>
        <w:t>Définition de Trouble Lié à l’Usage de substance</w:t>
      </w:r>
    </w:p>
    <w:p w14:paraId="34D924DC" w14:textId="77777777" w:rsidR="00355509" w:rsidRDefault="00355509">
      <w:pPr>
        <w:rPr>
          <w:rFonts w:ascii="Arial" w:hAnsi="Arial"/>
        </w:rPr>
      </w:pPr>
    </w:p>
    <w:p w14:paraId="421DB338" w14:textId="35330588" w:rsidR="009A1A42" w:rsidRDefault="009A1A42" w:rsidP="008A4ED6">
      <w:pPr>
        <w:rPr>
          <w:rFonts w:ascii="Arial" w:hAnsi="Arial"/>
        </w:rPr>
      </w:pPr>
      <w:r>
        <w:rPr>
          <w:rFonts w:ascii="Arial" w:hAnsi="Arial"/>
        </w:rPr>
        <w:t>Avec le DSM-5, nous ne parlons plus de</w:t>
      </w:r>
      <w:r w:rsidR="008A4ED6" w:rsidRPr="008A4ED6">
        <w:rPr>
          <w:rFonts w:ascii="Arial" w:hAnsi="Arial"/>
        </w:rPr>
        <w:t xml:space="preserve"> diagnostics d’</w:t>
      </w:r>
      <w:r>
        <w:rPr>
          <w:rFonts w:ascii="Arial" w:hAnsi="Arial"/>
        </w:rPr>
        <w:t xml:space="preserve">abus et de dépendance mais plutôt de </w:t>
      </w:r>
      <w:r w:rsidR="008A4ED6" w:rsidRPr="008A4ED6">
        <w:rPr>
          <w:rFonts w:ascii="Arial" w:hAnsi="Arial"/>
        </w:rPr>
        <w:t>«Trouble de l’usage de la substance X»</w:t>
      </w:r>
      <w:r w:rsidR="00D07FD4">
        <w:rPr>
          <w:rFonts w:ascii="Arial" w:hAnsi="Arial"/>
        </w:rPr>
        <w:t> :</w:t>
      </w:r>
    </w:p>
    <w:p w14:paraId="0CCABFAB" w14:textId="77777777" w:rsidR="00D07FD4" w:rsidRDefault="00D07FD4" w:rsidP="008A4ED6">
      <w:pPr>
        <w:rPr>
          <w:rFonts w:ascii="Arial" w:hAnsi="Arial"/>
        </w:rPr>
      </w:pPr>
    </w:p>
    <w:p w14:paraId="2DF1C59F" w14:textId="54DAD603" w:rsidR="00F4172B" w:rsidRPr="00D07FD4" w:rsidRDefault="00555CFB" w:rsidP="00D07FD4">
      <w:pPr>
        <w:pStyle w:val="ListParagraph"/>
        <w:numPr>
          <w:ilvl w:val="0"/>
          <w:numId w:val="3"/>
        </w:numPr>
        <w:rPr>
          <w:rFonts w:ascii="Arial" w:hAnsi="Arial"/>
          <w:lang w:val="fr-FR"/>
        </w:rPr>
      </w:pPr>
      <w:r w:rsidRPr="00D07FD4">
        <w:rPr>
          <w:rFonts w:ascii="Arial" w:hAnsi="Arial"/>
          <w:lang w:val="fr-FR"/>
        </w:rPr>
        <w:t>La substance est souvent prise en quantité plus importante ou pendant une période plus longue que prévu.</w:t>
      </w:r>
    </w:p>
    <w:p w14:paraId="1488483A" w14:textId="2F372B32" w:rsidR="00F4172B" w:rsidRPr="00F4172B" w:rsidRDefault="00555CFB" w:rsidP="00F4172B">
      <w:pPr>
        <w:rPr>
          <w:rFonts w:ascii="Arial" w:hAnsi="Arial"/>
          <w:lang w:val="fr-FR"/>
        </w:rPr>
      </w:pPr>
      <w:r w:rsidRPr="00F4172B">
        <w:rPr>
          <w:rFonts w:ascii="Arial" w:hAnsi="Arial"/>
          <w:lang w:val="fr-FR"/>
        </w:rPr>
        <w:br/>
        <w:t>2. Il y a un désir persistant ou des efforts infructueux, pour diminuer ou contrôler l’usage de la substance.</w:t>
      </w:r>
    </w:p>
    <w:p w14:paraId="131B6635" w14:textId="77777777" w:rsidR="00F4172B" w:rsidRPr="00F4172B" w:rsidRDefault="00F4172B" w:rsidP="00F4172B">
      <w:pPr>
        <w:rPr>
          <w:lang w:val="fr-FR"/>
        </w:rPr>
      </w:pPr>
    </w:p>
    <w:p w14:paraId="723CD212" w14:textId="4B478DE5" w:rsidR="00555CFB" w:rsidRDefault="00555CFB" w:rsidP="008A4ED6">
      <w:pPr>
        <w:rPr>
          <w:rFonts w:ascii="Arial" w:hAnsi="Arial"/>
          <w:lang w:val="fr-FR"/>
        </w:rPr>
      </w:pPr>
      <w:r w:rsidRPr="00555CFB">
        <w:rPr>
          <w:rFonts w:ascii="Arial" w:hAnsi="Arial"/>
          <w:lang w:val="fr-FR"/>
        </w:rPr>
        <w:t xml:space="preserve">3. Une grande partie du temps est consacrée à des activités nécessaires pour obtenir </w:t>
      </w:r>
      <w:r>
        <w:rPr>
          <w:rFonts w:ascii="Arial" w:hAnsi="Arial"/>
          <w:lang w:val="fr-FR"/>
        </w:rPr>
        <w:t xml:space="preserve">la substance, </w:t>
      </w:r>
      <w:r w:rsidRPr="00555CFB">
        <w:rPr>
          <w:rFonts w:ascii="Arial" w:hAnsi="Arial"/>
          <w:lang w:val="fr-FR"/>
        </w:rPr>
        <w:t xml:space="preserve">consommer </w:t>
      </w:r>
      <w:r>
        <w:rPr>
          <w:rFonts w:ascii="Arial" w:hAnsi="Arial"/>
          <w:lang w:val="fr-FR"/>
        </w:rPr>
        <w:t>cette substance, ou récupérer</w:t>
      </w:r>
      <w:r w:rsidRPr="00555CFB">
        <w:rPr>
          <w:rFonts w:ascii="Arial" w:hAnsi="Arial"/>
          <w:lang w:val="fr-FR"/>
        </w:rPr>
        <w:t xml:space="preserve"> de ses effets.</w:t>
      </w:r>
    </w:p>
    <w:p w14:paraId="7FA07F67" w14:textId="68A37ABD" w:rsidR="00F4172B" w:rsidRDefault="00D07FD4" w:rsidP="008A4ED6">
      <w:pPr>
        <w:rPr>
          <w:rFonts w:ascii="Arial" w:hAnsi="Arial"/>
          <w:lang w:val="fr-FR"/>
        </w:rPr>
      </w:pPr>
      <w:r>
        <w:rPr>
          <w:rFonts w:ascii="Arial" w:hAnsi="Arial"/>
          <w:lang w:val="fr-FR"/>
        </w:rPr>
        <w:br/>
        <w:t xml:space="preserve">4. </w:t>
      </w:r>
      <w:r w:rsidR="00175360">
        <w:rPr>
          <w:rFonts w:ascii="Arial" w:hAnsi="Arial"/>
          <w:lang w:val="fr-FR"/>
        </w:rPr>
        <w:t>« </w:t>
      </w:r>
      <w:r>
        <w:rPr>
          <w:rFonts w:ascii="Arial" w:hAnsi="Arial"/>
          <w:lang w:val="fr-FR"/>
        </w:rPr>
        <w:t>Craving</w:t>
      </w:r>
      <w:r w:rsidR="00175360">
        <w:rPr>
          <w:rFonts w:ascii="Arial" w:hAnsi="Arial"/>
          <w:lang w:val="fr-FR"/>
        </w:rPr>
        <w:t> »</w:t>
      </w:r>
      <w:r>
        <w:rPr>
          <w:rFonts w:ascii="Arial" w:hAnsi="Arial"/>
          <w:lang w:val="fr-FR"/>
        </w:rPr>
        <w:t>, ou un désir /</w:t>
      </w:r>
      <w:r w:rsidR="00555CFB">
        <w:rPr>
          <w:rFonts w:ascii="Arial" w:hAnsi="Arial"/>
          <w:lang w:val="fr-FR"/>
        </w:rPr>
        <w:t xml:space="preserve"> besoin de consommer de consommer</w:t>
      </w:r>
      <w:r w:rsidR="00555CFB" w:rsidRPr="00555CFB">
        <w:rPr>
          <w:rFonts w:ascii="Arial" w:hAnsi="Arial"/>
          <w:lang w:val="fr-FR"/>
        </w:rPr>
        <w:t>.</w:t>
      </w:r>
    </w:p>
    <w:p w14:paraId="52904D81" w14:textId="77777777" w:rsidR="00F4172B" w:rsidRDefault="00F4172B" w:rsidP="008A4ED6">
      <w:pPr>
        <w:rPr>
          <w:rFonts w:ascii="Arial" w:hAnsi="Arial"/>
          <w:lang w:val="fr-FR"/>
        </w:rPr>
      </w:pPr>
      <w:r>
        <w:rPr>
          <w:rFonts w:ascii="Arial" w:hAnsi="Arial"/>
          <w:lang w:val="fr-FR"/>
        </w:rPr>
        <w:br/>
        <w:t>5. L</w:t>
      </w:r>
      <w:r w:rsidR="00555CFB" w:rsidRPr="00555CFB">
        <w:rPr>
          <w:rFonts w:ascii="Arial" w:hAnsi="Arial"/>
          <w:lang w:val="fr-FR"/>
        </w:rPr>
        <w:t>a consommation d</w:t>
      </w:r>
      <w:r>
        <w:rPr>
          <w:rFonts w:ascii="Arial" w:hAnsi="Arial"/>
          <w:lang w:val="fr-FR"/>
        </w:rPr>
        <w:t>e substance</w:t>
      </w:r>
      <w:r w:rsidR="00555CFB" w:rsidRPr="00555CFB">
        <w:rPr>
          <w:rFonts w:ascii="Arial" w:hAnsi="Arial"/>
          <w:lang w:val="fr-FR"/>
        </w:rPr>
        <w:t xml:space="preserve"> </w:t>
      </w:r>
      <w:r>
        <w:rPr>
          <w:rFonts w:ascii="Arial" w:hAnsi="Arial"/>
          <w:lang w:val="fr-FR"/>
        </w:rPr>
        <w:t>de façon récurrente</w:t>
      </w:r>
      <w:r w:rsidR="00555CFB" w:rsidRPr="00555CFB">
        <w:rPr>
          <w:rFonts w:ascii="Arial" w:hAnsi="Arial"/>
          <w:lang w:val="fr-FR"/>
        </w:rPr>
        <w:t xml:space="preserve"> </w:t>
      </w:r>
      <w:r>
        <w:rPr>
          <w:rFonts w:ascii="Arial" w:hAnsi="Arial"/>
          <w:lang w:val="fr-FR"/>
        </w:rPr>
        <w:t xml:space="preserve">amène des manquements </w:t>
      </w:r>
      <w:r w:rsidR="00555CFB" w:rsidRPr="00555CFB">
        <w:rPr>
          <w:rFonts w:ascii="Arial" w:hAnsi="Arial"/>
          <w:lang w:val="fr-FR"/>
        </w:rPr>
        <w:t xml:space="preserve"> à des</w:t>
      </w:r>
      <w:r>
        <w:rPr>
          <w:rFonts w:ascii="Arial" w:hAnsi="Arial"/>
          <w:lang w:val="fr-FR"/>
        </w:rPr>
        <w:t xml:space="preserve"> obligations au travail,</w:t>
      </w:r>
      <w:r w:rsidRPr="00555CFB">
        <w:rPr>
          <w:rFonts w:ascii="Arial" w:hAnsi="Arial"/>
          <w:lang w:val="fr-FR"/>
        </w:rPr>
        <w:t xml:space="preserve"> l’école</w:t>
      </w:r>
      <w:r w:rsidR="00555CFB" w:rsidRPr="00555CFB">
        <w:rPr>
          <w:rFonts w:ascii="Arial" w:hAnsi="Arial"/>
          <w:lang w:val="fr-FR"/>
        </w:rPr>
        <w:t>, ou à la maison.</w:t>
      </w:r>
    </w:p>
    <w:p w14:paraId="3E5AC9B6" w14:textId="77777777" w:rsidR="00BB754A" w:rsidRDefault="00555CFB" w:rsidP="008A4ED6">
      <w:pPr>
        <w:rPr>
          <w:rFonts w:ascii="Arial" w:hAnsi="Arial"/>
          <w:lang w:val="fr-FR"/>
        </w:rPr>
      </w:pPr>
      <w:r w:rsidRPr="00555CFB">
        <w:rPr>
          <w:rFonts w:ascii="Arial" w:hAnsi="Arial"/>
          <w:lang w:val="fr-FR"/>
        </w:rPr>
        <w:br/>
        <w:t>6.</w:t>
      </w:r>
      <w:r w:rsidR="00F4172B">
        <w:rPr>
          <w:rFonts w:ascii="Arial" w:hAnsi="Arial"/>
          <w:lang w:val="fr-FR"/>
        </w:rPr>
        <w:t xml:space="preserve"> La</w:t>
      </w:r>
      <w:r w:rsidRPr="00555CFB">
        <w:rPr>
          <w:rFonts w:ascii="Arial" w:hAnsi="Arial"/>
          <w:lang w:val="fr-FR"/>
        </w:rPr>
        <w:t xml:space="preserve"> consommation </w:t>
      </w:r>
      <w:r w:rsidR="00F4172B">
        <w:rPr>
          <w:rFonts w:ascii="Arial" w:hAnsi="Arial"/>
          <w:lang w:val="fr-FR"/>
        </w:rPr>
        <w:t xml:space="preserve">de substance continue, </w:t>
      </w:r>
      <w:r w:rsidRPr="00555CFB">
        <w:rPr>
          <w:rFonts w:ascii="Arial" w:hAnsi="Arial"/>
          <w:lang w:val="fr-FR"/>
        </w:rPr>
        <w:t xml:space="preserve"> malgré </w:t>
      </w:r>
      <w:r w:rsidR="00F4172B">
        <w:rPr>
          <w:rFonts w:ascii="Arial" w:hAnsi="Arial"/>
          <w:lang w:val="fr-FR"/>
        </w:rPr>
        <w:t>la persistance</w:t>
      </w:r>
      <w:r w:rsidRPr="00555CFB">
        <w:rPr>
          <w:rFonts w:ascii="Arial" w:hAnsi="Arial"/>
          <w:lang w:val="fr-FR"/>
        </w:rPr>
        <w:t xml:space="preserve"> ou </w:t>
      </w:r>
      <w:r w:rsidR="00F4172B">
        <w:rPr>
          <w:rFonts w:ascii="Arial" w:hAnsi="Arial"/>
          <w:lang w:val="fr-FR"/>
        </w:rPr>
        <w:t xml:space="preserve"> la récurrenc</w:t>
      </w:r>
      <w:r w:rsidRPr="00555CFB">
        <w:rPr>
          <w:rFonts w:ascii="Arial" w:hAnsi="Arial"/>
          <w:lang w:val="fr-FR"/>
        </w:rPr>
        <w:t xml:space="preserve">e </w:t>
      </w:r>
      <w:r w:rsidR="00F4172B">
        <w:rPr>
          <w:rFonts w:ascii="Arial" w:hAnsi="Arial"/>
          <w:lang w:val="fr-FR"/>
        </w:rPr>
        <w:t>de troubles sociaux ou interpersonnels.</w:t>
      </w:r>
      <w:r w:rsidRPr="00555CFB">
        <w:rPr>
          <w:rFonts w:ascii="Arial" w:hAnsi="Arial"/>
          <w:lang w:val="fr-FR"/>
        </w:rPr>
        <w:br/>
      </w:r>
      <w:r w:rsidRPr="00555CFB">
        <w:rPr>
          <w:rFonts w:ascii="Arial" w:hAnsi="Arial"/>
          <w:lang w:val="fr-FR"/>
        </w:rPr>
        <w:br/>
        <w:t xml:space="preserve">7. </w:t>
      </w:r>
      <w:r w:rsidR="00BB754A">
        <w:rPr>
          <w:rFonts w:ascii="Arial" w:hAnsi="Arial"/>
          <w:lang w:val="fr-FR"/>
        </w:rPr>
        <w:t xml:space="preserve">Une réduction ou abandon </w:t>
      </w:r>
      <w:r w:rsidRPr="00555CFB">
        <w:rPr>
          <w:rFonts w:ascii="Arial" w:hAnsi="Arial"/>
          <w:lang w:val="fr-FR"/>
        </w:rPr>
        <w:t>d'activités importantes</w:t>
      </w:r>
      <w:r w:rsidR="00BB754A">
        <w:rPr>
          <w:rFonts w:ascii="Arial" w:hAnsi="Arial"/>
          <w:lang w:val="fr-FR"/>
        </w:rPr>
        <w:t xml:space="preserve">, d‘activités sociales </w:t>
      </w:r>
      <w:r w:rsidRPr="00555CFB">
        <w:rPr>
          <w:rFonts w:ascii="Arial" w:hAnsi="Arial"/>
          <w:lang w:val="fr-FR"/>
        </w:rPr>
        <w:t>à cause</w:t>
      </w:r>
      <w:r w:rsidRPr="00555CFB">
        <w:rPr>
          <w:rFonts w:ascii="Arial" w:hAnsi="Arial"/>
          <w:lang w:val="fr-FR"/>
        </w:rPr>
        <w:br/>
        <w:t xml:space="preserve">de </w:t>
      </w:r>
      <w:r w:rsidR="00BB754A">
        <w:rPr>
          <w:rFonts w:ascii="Arial" w:hAnsi="Arial"/>
          <w:lang w:val="fr-FR"/>
        </w:rPr>
        <w:t>la consommation de substances</w:t>
      </w:r>
      <w:r w:rsidRPr="00555CFB">
        <w:rPr>
          <w:rFonts w:ascii="Arial" w:hAnsi="Arial"/>
          <w:lang w:val="fr-FR"/>
        </w:rPr>
        <w:t>.</w:t>
      </w:r>
    </w:p>
    <w:p w14:paraId="564BEE9E" w14:textId="77777777" w:rsidR="0042101F" w:rsidRDefault="0042101F" w:rsidP="008A4ED6">
      <w:pPr>
        <w:rPr>
          <w:rFonts w:ascii="Arial" w:hAnsi="Arial"/>
          <w:lang w:val="fr-FR"/>
        </w:rPr>
      </w:pPr>
      <w:r>
        <w:rPr>
          <w:rFonts w:ascii="Arial" w:hAnsi="Arial"/>
          <w:lang w:val="fr-FR"/>
        </w:rPr>
        <w:br/>
        <w:t>8. L</w:t>
      </w:r>
      <w:r w:rsidR="00555CFB" w:rsidRPr="00555CFB">
        <w:rPr>
          <w:rFonts w:ascii="Arial" w:hAnsi="Arial"/>
          <w:lang w:val="fr-FR"/>
        </w:rPr>
        <w:t>a consommation d</w:t>
      </w:r>
      <w:r>
        <w:rPr>
          <w:rFonts w:ascii="Arial" w:hAnsi="Arial"/>
          <w:lang w:val="fr-FR"/>
        </w:rPr>
        <w:t>e substances</w:t>
      </w:r>
      <w:r w:rsidR="00555CFB" w:rsidRPr="00555CFB">
        <w:rPr>
          <w:rFonts w:ascii="Arial" w:hAnsi="Arial"/>
          <w:lang w:val="fr-FR"/>
        </w:rPr>
        <w:t xml:space="preserve"> </w:t>
      </w:r>
      <w:r>
        <w:rPr>
          <w:rFonts w:ascii="Arial" w:hAnsi="Arial"/>
          <w:lang w:val="fr-FR"/>
        </w:rPr>
        <w:t>dans d</w:t>
      </w:r>
      <w:r w:rsidR="00555CFB" w:rsidRPr="00555CFB">
        <w:rPr>
          <w:rFonts w:ascii="Arial" w:hAnsi="Arial"/>
          <w:lang w:val="fr-FR"/>
        </w:rPr>
        <w:t>es situations où il est physiquement dangereux.</w:t>
      </w:r>
    </w:p>
    <w:p w14:paraId="3EC16359" w14:textId="77777777" w:rsidR="0042101F" w:rsidRDefault="00555CFB" w:rsidP="008A4ED6">
      <w:pPr>
        <w:rPr>
          <w:rFonts w:ascii="Arial" w:hAnsi="Arial"/>
          <w:lang w:val="fr-FR"/>
        </w:rPr>
      </w:pPr>
      <w:r w:rsidRPr="00555CFB">
        <w:rPr>
          <w:rFonts w:ascii="Arial" w:hAnsi="Arial"/>
          <w:lang w:val="fr-FR"/>
        </w:rPr>
        <w:br/>
      </w:r>
      <w:r w:rsidR="0042101F">
        <w:rPr>
          <w:rFonts w:ascii="Arial" w:hAnsi="Arial"/>
          <w:lang w:val="fr-FR"/>
        </w:rPr>
        <w:t>9. L'utilisation de substances</w:t>
      </w:r>
      <w:r w:rsidRPr="00555CFB">
        <w:rPr>
          <w:rFonts w:ascii="Arial" w:hAnsi="Arial"/>
          <w:lang w:val="fr-FR"/>
        </w:rPr>
        <w:t xml:space="preserve"> est poursuivie </w:t>
      </w:r>
      <w:r w:rsidR="0042101F">
        <w:rPr>
          <w:rFonts w:ascii="Arial" w:hAnsi="Arial"/>
          <w:lang w:val="fr-FR"/>
        </w:rPr>
        <w:t>malgré la réalisation</w:t>
      </w:r>
      <w:r w:rsidRPr="00555CFB">
        <w:rPr>
          <w:rFonts w:ascii="Arial" w:hAnsi="Arial"/>
          <w:lang w:val="fr-FR"/>
        </w:rPr>
        <w:t xml:space="preserve"> d'avoir un </w:t>
      </w:r>
      <w:r w:rsidRPr="00555CFB">
        <w:rPr>
          <w:rFonts w:ascii="Arial" w:hAnsi="Arial"/>
          <w:lang w:val="fr-FR"/>
        </w:rPr>
        <w:lastRenderedPageBreak/>
        <w:t>problème physique ou psychologique qui est susceptibl</w:t>
      </w:r>
      <w:r w:rsidR="0042101F">
        <w:rPr>
          <w:rFonts w:ascii="Arial" w:hAnsi="Arial"/>
          <w:lang w:val="fr-FR"/>
        </w:rPr>
        <w:t>e d'avoir été causé ou exacerbé par cette substance</w:t>
      </w:r>
      <w:r w:rsidRPr="00555CFB">
        <w:rPr>
          <w:rFonts w:ascii="Arial" w:hAnsi="Arial"/>
          <w:lang w:val="fr-FR"/>
        </w:rPr>
        <w:t>.</w:t>
      </w:r>
    </w:p>
    <w:p w14:paraId="5A071C64" w14:textId="6F826C70" w:rsidR="0042101F" w:rsidRDefault="00555CFB" w:rsidP="0042101F">
      <w:pPr>
        <w:rPr>
          <w:rFonts w:ascii="Arial" w:hAnsi="Arial"/>
          <w:lang w:val="fr-FR"/>
        </w:rPr>
      </w:pPr>
      <w:r w:rsidRPr="00555CFB">
        <w:rPr>
          <w:rFonts w:ascii="Arial" w:hAnsi="Arial"/>
          <w:lang w:val="fr-FR"/>
        </w:rPr>
        <w:br/>
        <w:t>10. La toléra</w:t>
      </w:r>
      <w:r w:rsidR="008A58E8">
        <w:rPr>
          <w:rFonts w:ascii="Arial" w:hAnsi="Arial"/>
          <w:lang w:val="fr-FR"/>
        </w:rPr>
        <w:t xml:space="preserve">nce, telle que définie par l'une des conditions </w:t>
      </w:r>
      <w:r w:rsidR="0042101F">
        <w:rPr>
          <w:rFonts w:ascii="Arial" w:hAnsi="Arial"/>
          <w:lang w:val="fr-FR"/>
        </w:rPr>
        <w:t>suivant</w:t>
      </w:r>
      <w:r w:rsidR="008A58E8">
        <w:rPr>
          <w:rFonts w:ascii="Arial" w:hAnsi="Arial"/>
          <w:lang w:val="fr-FR"/>
        </w:rPr>
        <w:t>e</w:t>
      </w:r>
      <w:r w:rsidR="0042101F">
        <w:rPr>
          <w:rFonts w:ascii="Arial" w:hAnsi="Arial"/>
          <w:lang w:val="fr-FR"/>
        </w:rPr>
        <w:t>s:</w:t>
      </w:r>
      <w:r w:rsidR="0042101F">
        <w:rPr>
          <w:rFonts w:ascii="Arial" w:hAnsi="Arial"/>
          <w:lang w:val="fr-FR"/>
        </w:rPr>
        <w:br/>
        <w:t xml:space="preserve">a. </w:t>
      </w:r>
      <w:r w:rsidRPr="00555CFB">
        <w:rPr>
          <w:rFonts w:ascii="Arial" w:hAnsi="Arial"/>
          <w:lang w:val="fr-FR"/>
        </w:rPr>
        <w:t xml:space="preserve">Un besoin de </w:t>
      </w:r>
      <w:r w:rsidR="0042101F">
        <w:rPr>
          <w:rFonts w:ascii="Arial" w:hAnsi="Arial"/>
          <w:lang w:val="fr-FR"/>
        </w:rPr>
        <w:t xml:space="preserve">plus grande </w:t>
      </w:r>
      <w:r w:rsidRPr="00555CFB">
        <w:rPr>
          <w:rFonts w:ascii="Arial" w:hAnsi="Arial"/>
          <w:lang w:val="fr-FR"/>
        </w:rPr>
        <w:t xml:space="preserve">quantités </w:t>
      </w:r>
      <w:r w:rsidR="0042101F">
        <w:rPr>
          <w:rFonts w:ascii="Arial" w:hAnsi="Arial"/>
          <w:lang w:val="fr-FR"/>
        </w:rPr>
        <w:t>de substance</w:t>
      </w:r>
      <w:r w:rsidRPr="00555CFB">
        <w:rPr>
          <w:rFonts w:ascii="Arial" w:hAnsi="Arial"/>
          <w:lang w:val="fr-FR"/>
        </w:rPr>
        <w:t xml:space="preserve"> p</w:t>
      </w:r>
      <w:r w:rsidR="0042101F">
        <w:rPr>
          <w:rFonts w:ascii="Arial" w:hAnsi="Arial"/>
          <w:lang w:val="fr-FR"/>
        </w:rPr>
        <w:t xml:space="preserve">our obtenir un niveau d’intoxication </w:t>
      </w:r>
      <w:r w:rsidRPr="00555CFB">
        <w:rPr>
          <w:rFonts w:ascii="Arial" w:hAnsi="Arial"/>
          <w:lang w:val="fr-FR"/>
        </w:rPr>
        <w:t>désiré</w:t>
      </w:r>
      <w:r w:rsidR="0042101F">
        <w:rPr>
          <w:rFonts w:ascii="Arial" w:hAnsi="Arial"/>
          <w:lang w:val="fr-FR"/>
        </w:rPr>
        <w:t>.</w:t>
      </w:r>
      <w:r w:rsidR="001A2E2C">
        <w:rPr>
          <w:rFonts w:ascii="Arial" w:hAnsi="Arial"/>
          <w:lang w:val="fr-FR"/>
        </w:rPr>
        <w:br/>
      </w:r>
      <w:r w:rsidRPr="00555CFB">
        <w:rPr>
          <w:rFonts w:ascii="Arial" w:hAnsi="Arial"/>
          <w:lang w:val="fr-FR"/>
        </w:rPr>
        <w:t xml:space="preserve">b. Un effet diminué en utilisation </w:t>
      </w:r>
      <w:r w:rsidR="0042101F">
        <w:rPr>
          <w:rFonts w:ascii="Arial" w:hAnsi="Arial"/>
          <w:lang w:val="fr-FR"/>
        </w:rPr>
        <w:t>de la même quantité de substance</w:t>
      </w:r>
      <w:r w:rsidRPr="00555CFB">
        <w:rPr>
          <w:rFonts w:ascii="Arial" w:hAnsi="Arial"/>
          <w:lang w:val="fr-FR"/>
        </w:rPr>
        <w:t>.</w:t>
      </w:r>
    </w:p>
    <w:p w14:paraId="46DABC67" w14:textId="17E0CF14" w:rsidR="00555CFB" w:rsidRDefault="00555CFB" w:rsidP="0042101F">
      <w:pPr>
        <w:rPr>
          <w:rFonts w:ascii="Arial" w:hAnsi="Arial"/>
          <w:lang w:val="fr-FR"/>
        </w:rPr>
      </w:pPr>
      <w:r w:rsidRPr="00555CFB">
        <w:rPr>
          <w:rFonts w:ascii="Arial" w:hAnsi="Arial"/>
          <w:lang w:val="fr-FR"/>
        </w:rPr>
        <w:br/>
        <w:t xml:space="preserve">11. Retrait, qui se manifeste par </w:t>
      </w:r>
      <w:r w:rsidR="008A58E8">
        <w:rPr>
          <w:rFonts w:ascii="Arial" w:hAnsi="Arial"/>
          <w:lang w:val="fr-FR"/>
        </w:rPr>
        <w:t>l’</w:t>
      </w:r>
      <w:r w:rsidRPr="00555CFB">
        <w:rPr>
          <w:rFonts w:ascii="Arial" w:hAnsi="Arial"/>
          <w:lang w:val="fr-FR"/>
        </w:rPr>
        <w:t>une des conditio</w:t>
      </w:r>
      <w:r w:rsidR="0042101F">
        <w:rPr>
          <w:rFonts w:ascii="Arial" w:hAnsi="Arial"/>
          <w:lang w:val="fr-FR"/>
        </w:rPr>
        <w:t>ns suivantes:</w:t>
      </w:r>
      <w:r w:rsidR="0042101F">
        <w:rPr>
          <w:rFonts w:ascii="Arial" w:hAnsi="Arial"/>
          <w:lang w:val="fr-FR"/>
        </w:rPr>
        <w:br/>
        <w:t xml:space="preserve">a. </w:t>
      </w:r>
      <w:r w:rsidRPr="00555CFB">
        <w:rPr>
          <w:rFonts w:ascii="Arial" w:hAnsi="Arial"/>
          <w:lang w:val="fr-FR"/>
        </w:rPr>
        <w:t>Le syndro</w:t>
      </w:r>
      <w:r w:rsidR="0042101F">
        <w:rPr>
          <w:rFonts w:ascii="Arial" w:hAnsi="Arial"/>
          <w:lang w:val="fr-FR"/>
        </w:rPr>
        <w:t>me de sevrage caractéristique de la substance consommée.</w:t>
      </w:r>
      <w:r w:rsidRPr="00555CFB">
        <w:rPr>
          <w:rFonts w:ascii="Arial" w:hAnsi="Arial"/>
          <w:lang w:val="fr-FR"/>
        </w:rPr>
        <w:br/>
        <w:t xml:space="preserve">b. </w:t>
      </w:r>
      <w:r w:rsidR="0042101F">
        <w:rPr>
          <w:rFonts w:ascii="Arial" w:hAnsi="Arial"/>
          <w:lang w:val="fr-FR"/>
        </w:rPr>
        <w:t xml:space="preserve">La </w:t>
      </w:r>
      <w:r w:rsidRPr="00555CFB">
        <w:rPr>
          <w:rFonts w:ascii="Arial" w:hAnsi="Arial"/>
          <w:lang w:val="fr-FR"/>
        </w:rPr>
        <w:t>substance</w:t>
      </w:r>
      <w:r w:rsidR="0042101F">
        <w:rPr>
          <w:rFonts w:ascii="Arial" w:hAnsi="Arial"/>
          <w:lang w:val="fr-FR"/>
        </w:rPr>
        <w:t xml:space="preserve"> (ou un analogue)</w:t>
      </w:r>
      <w:r w:rsidRPr="00555CFB">
        <w:rPr>
          <w:rFonts w:ascii="Arial" w:hAnsi="Arial"/>
          <w:lang w:val="fr-FR"/>
        </w:rPr>
        <w:t xml:space="preserve"> </w:t>
      </w:r>
      <w:r w:rsidR="0042101F">
        <w:rPr>
          <w:rFonts w:ascii="Arial" w:hAnsi="Arial"/>
          <w:lang w:val="fr-FR"/>
        </w:rPr>
        <w:t xml:space="preserve">est prise pour </w:t>
      </w:r>
      <w:r w:rsidRPr="00555CFB">
        <w:rPr>
          <w:rFonts w:ascii="Arial" w:hAnsi="Arial"/>
          <w:lang w:val="fr-FR"/>
        </w:rPr>
        <w:t>soulager ou éviter les symptômes de sevrage.</w:t>
      </w:r>
    </w:p>
    <w:p w14:paraId="582B3DF8" w14:textId="77777777" w:rsidR="001D471D" w:rsidRDefault="001D471D" w:rsidP="0042101F">
      <w:pPr>
        <w:rPr>
          <w:rFonts w:ascii="Arial" w:hAnsi="Arial"/>
          <w:lang w:val="fr-FR"/>
        </w:rPr>
      </w:pPr>
    </w:p>
    <w:p w14:paraId="29F956AA" w14:textId="77777777" w:rsidR="001639AF" w:rsidRDefault="001639AF" w:rsidP="0042101F">
      <w:pPr>
        <w:rPr>
          <w:rFonts w:ascii="Arial" w:hAnsi="Arial"/>
          <w:lang w:val="fr-FR"/>
        </w:rPr>
      </w:pPr>
    </w:p>
    <w:p w14:paraId="1B0B7C41" w14:textId="170714F5" w:rsidR="00576D7D" w:rsidRDefault="00576D7D" w:rsidP="0042101F">
      <w:pPr>
        <w:rPr>
          <w:rFonts w:ascii="Arial" w:hAnsi="Arial"/>
          <w:lang w:val="fr-FR"/>
        </w:rPr>
      </w:pPr>
      <w:r>
        <w:rPr>
          <w:rFonts w:ascii="Arial" w:hAnsi="Arial"/>
          <w:lang w:val="fr-FR"/>
        </w:rPr>
        <w:t>Le nombre de critères atteints indique la sévérité de la problématique :</w:t>
      </w:r>
    </w:p>
    <w:p w14:paraId="05BBC723" w14:textId="08902223" w:rsidR="00576D7D" w:rsidRDefault="00576D7D" w:rsidP="0042101F">
      <w:pPr>
        <w:rPr>
          <w:rFonts w:ascii="Arial" w:hAnsi="Arial"/>
          <w:lang w:val="fr-FR"/>
        </w:rPr>
      </w:pPr>
      <w:r>
        <w:rPr>
          <w:rFonts w:ascii="Arial" w:hAnsi="Arial"/>
          <w:lang w:val="fr-FR"/>
        </w:rPr>
        <w:t>2-3 critères : TLU Leger</w:t>
      </w:r>
    </w:p>
    <w:p w14:paraId="639BCEB6" w14:textId="648BE83E" w:rsidR="00576D7D" w:rsidRDefault="00576D7D" w:rsidP="0042101F">
      <w:pPr>
        <w:rPr>
          <w:rFonts w:ascii="Arial" w:hAnsi="Arial"/>
          <w:lang w:val="fr-FR"/>
        </w:rPr>
      </w:pPr>
      <w:r>
        <w:rPr>
          <w:rFonts w:ascii="Arial" w:hAnsi="Arial"/>
          <w:lang w:val="fr-FR"/>
        </w:rPr>
        <w:t>4-5 critères : TLU modéré</w:t>
      </w:r>
    </w:p>
    <w:p w14:paraId="5D7E7772" w14:textId="57B93963" w:rsidR="001639AF" w:rsidRDefault="00576D7D" w:rsidP="0042101F">
      <w:pPr>
        <w:rPr>
          <w:rFonts w:ascii="Arial" w:hAnsi="Arial"/>
          <w:lang w:val="fr-FR"/>
        </w:rPr>
      </w:pPr>
      <w:r>
        <w:rPr>
          <w:rFonts w:ascii="Arial" w:hAnsi="Arial"/>
          <w:lang w:val="fr-FR"/>
        </w:rPr>
        <w:t>6 critères et plus : TLU sévère</w:t>
      </w:r>
    </w:p>
    <w:p w14:paraId="4769980A" w14:textId="77777777" w:rsidR="00727D35" w:rsidRDefault="00727D35" w:rsidP="0042101F">
      <w:pPr>
        <w:rPr>
          <w:rFonts w:ascii="Arial" w:hAnsi="Arial"/>
        </w:rPr>
      </w:pPr>
    </w:p>
    <w:p w14:paraId="3A25FEF4" w14:textId="77777777" w:rsidR="001639AF" w:rsidRDefault="001639AF" w:rsidP="0042101F">
      <w:pPr>
        <w:rPr>
          <w:rFonts w:ascii="Arial" w:hAnsi="Arial"/>
        </w:rPr>
      </w:pPr>
    </w:p>
    <w:p w14:paraId="04FE94D4" w14:textId="77777777" w:rsidR="001639AF" w:rsidRPr="00672FF0" w:rsidRDefault="001639AF" w:rsidP="001639AF">
      <w:pPr>
        <w:rPr>
          <w:rFonts w:ascii="Arial" w:hAnsi="Arial"/>
          <w:b/>
          <w:u w:val="single"/>
        </w:rPr>
      </w:pPr>
      <w:r w:rsidRPr="00672FF0">
        <w:rPr>
          <w:rFonts w:ascii="Arial" w:hAnsi="Arial"/>
          <w:b/>
          <w:u w:val="single"/>
        </w:rPr>
        <w:t>Interventions pour accompagner ton patient</w:t>
      </w:r>
    </w:p>
    <w:p w14:paraId="35A04748" w14:textId="77777777" w:rsidR="001639AF" w:rsidRDefault="001639AF" w:rsidP="001639AF">
      <w:pPr>
        <w:rPr>
          <w:rFonts w:ascii="Arial" w:hAnsi="Arial"/>
        </w:rPr>
      </w:pPr>
    </w:p>
    <w:p w14:paraId="60DB6CD2" w14:textId="77777777" w:rsidR="001639AF" w:rsidRDefault="001639AF" w:rsidP="001639AF">
      <w:pPr>
        <w:rPr>
          <w:rFonts w:ascii="Arial" w:hAnsi="Arial"/>
        </w:rPr>
      </w:pPr>
      <w:r>
        <w:rPr>
          <w:rFonts w:ascii="Arial" w:hAnsi="Arial"/>
        </w:rPr>
        <w:t>Lorsqu’un patient nécessite une aide pour arrêter de consommer, il est important de faire une bonne évaluation des besoins, et de déterminer si les interventions devront nécessiter une hospitalisation, un suivi médical en externe, ou encore seulement un accompagnement psychosocial. La sévérité du TLU et les substances consommées aideront à déterminer quel niveau d’intervention est nécessaire.</w:t>
      </w:r>
    </w:p>
    <w:p w14:paraId="5CEAA20F" w14:textId="77777777" w:rsidR="001639AF" w:rsidRDefault="001639AF" w:rsidP="001639AF">
      <w:pPr>
        <w:rPr>
          <w:rFonts w:ascii="Arial" w:hAnsi="Arial"/>
        </w:rPr>
      </w:pPr>
    </w:p>
    <w:p w14:paraId="3057F743" w14:textId="77777777" w:rsidR="001639AF" w:rsidRDefault="001639AF" w:rsidP="001639AF">
      <w:pPr>
        <w:rPr>
          <w:rFonts w:ascii="Arial" w:hAnsi="Arial"/>
        </w:rPr>
      </w:pPr>
      <w:r w:rsidRPr="008A61EA">
        <w:rPr>
          <w:rFonts w:ascii="Arial" w:hAnsi="Arial"/>
          <w:u w:val="single"/>
        </w:rPr>
        <w:t>Interventions psychosociales</w:t>
      </w:r>
    </w:p>
    <w:p w14:paraId="39B588B3" w14:textId="77777777" w:rsidR="001639AF" w:rsidRDefault="001639AF" w:rsidP="001639AF">
      <w:pPr>
        <w:rPr>
          <w:rFonts w:ascii="Arial" w:hAnsi="Arial"/>
        </w:rPr>
      </w:pPr>
    </w:p>
    <w:p w14:paraId="044A202F" w14:textId="77777777" w:rsidR="001639AF" w:rsidRDefault="001639AF" w:rsidP="001639AF">
      <w:pPr>
        <w:rPr>
          <w:rFonts w:ascii="Arial" w:hAnsi="Arial"/>
        </w:rPr>
      </w:pPr>
      <w:r>
        <w:rPr>
          <w:rFonts w:ascii="Arial" w:hAnsi="Arial"/>
        </w:rPr>
        <w:t>Appropriées pour des patients ayant un TLU léger, stables médicalement et émotionnellement et ont un environnement de support. Souvent appropriées pour les TLU au cannabis, cocaïne et drogues de rues.</w:t>
      </w:r>
    </w:p>
    <w:p w14:paraId="2AC166CB" w14:textId="77777777" w:rsidR="001639AF" w:rsidRDefault="001639AF" w:rsidP="001639AF">
      <w:pPr>
        <w:rPr>
          <w:rFonts w:ascii="Arial" w:hAnsi="Arial"/>
        </w:rPr>
      </w:pPr>
    </w:p>
    <w:p w14:paraId="58914AAB" w14:textId="77777777" w:rsidR="001639AF" w:rsidRDefault="001639AF" w:rsidP="001639AF">
      <w:pPr>
        <w:rPr>
          <w:rFonts w:ascii="Arial" w:hAnsi="Arial"/>
        </w:rPr>
      </w:pPr>
      <w:r>
        <w:rPr>
          <w:rFonts w:ascii="Arial" w:hAnsi="Arial"/>
        </w:rPr>
        <w:t>L’approche d’entrevue motivationnelle est souvent utilisée pour aider les personnes ayant un TLU.</w:t>
      </w:r>
    </w:p>
    <w:p w14:paraId="58EA628D" w14:textId="77777777" w:rsidR="001639AF" w:rsidRDefault="001639AF" w:rsidP="001639AF">
      <w:pPr>
        <w:rPr>
          <w:rFonts w:ascii="Arial" w:hAnsi="Arial"/>
        </w:rPr>
      </w:pPr>
    </w:p>
    <w:p w14:paraId="32D3B2A9" w14:textId="77777777" w:rsidR="001639AF" w:rsidRPr="002747AD" w:rsidRDefault="001639AF" w:rsidP="001639AF">
      <w:pPr>
        <w:rPr>
          <w:rFonts w:ascii="Arial" w:hAnsi="Arial"/>
          <w:u w:val="single"/>
        </w:rPr>
      </w:pPr>
      <w:r w:rsidRPr="002747AD">
        <w:rPr>
          <w:rFonts w:ascii="Arial" w:hAnsi="Arial"/>
          <w:u w:val="single"/>
        </w:rPr>
        <w:t>Suivi médical en externe</w:t>
      </w:r>
    </w:p>
    <w:p w14:paraId="7E79C566" w14:textId="77777777" w:rsidR="001639AF" w:rsidRPr="008A61EA" w:rsidRDefault="001639AF" w:rsidP="001639AF">
      <w:pPr>
        <w:rPr>
          <w:rFonts w:ascii="Arial" w:hAnsi="Arial"/>
        </w:rPr>
      </w:pPr>
    </w:p>
    <w:p w14:paraId="2096C940" w14:textId="0E533D1E" w:rsidR="001639AF" w:rsidRDefault="001639AF" w:rsidP="001639AF">
      <w:pPr>
        <w:rPr>
          <w:rFonts w:ascii="Arial" w:hAnsi="Arial"/>
        </w:rPr>
      </w:pPr>
      <w:r>
        <w:rPr>
          <w:rFonts w:ascii="Arial" w:hAnsi="Arial"/>
        </w:rPr>
        <w:t>Souvent nécessaire pour les TLU aux opiacés, de benzodiazépines, alcool, ou encore pour ceux ayant un TLU modéré à sévère. Le suivi médical peut être accompagné d’un traitement pharmaceutique</w:t>
      </w:r>
      <w:r w:rsidR="00516750">
        <w:rPr>
          <w:rFonts w:ascii="Arial" w:hAnsi="Arial"/>
        </w:rPr>
        <w:t>.</w:t>
      </w:r>
    </w:p>
    <w:p w14:paraId="341114AF" w14:textId="77777777" w:rsidR="00516750" w:rsidRDefault="00516750" w:rsidP="001639AF">
      <w:pPr>
        <w:rPr>
          <w:rFonts w:ascii="Arial" w:hAnsi="Arial"/>
        </w:rPr>
      </w:pPr>
    </w:p>
    <w:p w14:paraId="2A5C5C93" w14:textId="77777777" w:rsidR="00516750" w:rsidRDefault="00516750" w:rsidP="001639AF">
      <w:pPr>
        <w:rPr>
          <w:rFonts w:ascii="Arial" w:hAnsi="Arial"/>
        </w:rPr>
      </w:pPr>
      <w:bookmarkStart w:id="0" w:name="_GoBack"/>
      <w:bookmarkEnd w:id="0"/>
    </w:p>
    <w:p w14:paraId="53B36501" w14:textId="77777777" w:rsidR="001639AF" w:rsidRDefault="001639AF" w:rsidP="001639AF">
      <w:pPr>
        <w:rPr>
          <w:rFonts w:ascii="Arial" w:hAnsi="Arial"/>
        </w:rPr>
      </w:pPr>
    </w:p>
    <w:p w14:paraId="2436BF84" w14:textId="77777777" w:rsidR="001639AF" w:rsidRDefault="001639AF" w:rsidP="001639AF">
      <w:pPr>
        <w:rPr>
          <w:rFonts w:ascii="Arial" w:hAnsi="Arial"/>
        </w:rPr>
      </w:pPr>
      <w:r w:rsidRPr="00A00150">
        <w:rPr>
          <w:rFonts w:ascii="Arial" w:hAnsi="Arial"/>
          <w:u w:val="single"/>
        </w:rPr>
        <w:t>Hospitalisation</w:t>
      </w:r>
    </w:p>
    <w:p w14:paraId="635DF0DC" w14:textId="77777777" w:rsidR="001639AF" w:rsidRDefault="001639AF" w:rsidP="001639AF">
      <w:pPr>
        <w:rPr>
          <w:rFonts w:ascii="Arial" w:hAnsi="Arial"/>
        </w:rPr>
      </w:pPr>
    </w:p>
    <w:p w14:paraId="25EE13D2" w14:textId="77777777" w:rsidR="001639AF" w:rsidRDefault="001639AF" w:rsidP="001639AF">
      <w:pPr>
        <w:rPr>
          <w:rFonts w:ascii="Arial" w:hAnsi="Arial"/>
        </w:rPr>
      </w:pPr>
      <w:r>
        <w:rPr>
          <w:rFonts w:ascii="Arial" w:hAnsi="Arial"/>
        </w:rPr>
        <w:lastRenderedPageBreak/>
        <w:t>Appropriée pour les TLU sévère, les patients ayant des comorbidités médicales, ou pour des sevrages compliques, tels risque de délirium trémens chez un sevrage d’alcool ou encore, sevrage de plusieurs substances. Rarement nécessaire pour les sevrage de cannabis, d’opiacés, de stimulants ou de benzodiazépines.</w:t>
      </w:r>
    </w:p>
    <w:p w14:paraId="397B2858" w14:textId="77777777" w:rsidR="001639AF" w:rsidRDefault="001639AF" w:rsidP="001639AF">
      <w:pPr>
        <w:rPr>
          <w:rFonts w:ascii="Arial" w:hAnsi="Arial"/>
        </w:rPr>
      </w:pPr>
    </w:p>
    <w:p w14:paraId="44C795A1" w14:textId="77777777" w:rsidR="001639AF" w:rsidRPr="009D19E2" w:rsidRDefault="001639AF" w:rsidP="001639AF">
      <w:pPr>
        <w:rPr>
          <w:rFonts w:ascii="Arial" w:hAnsi="Arial"/>
          <w:b/>
          <w:u w:val="single"/>
        </w:rPr>
      </w:pPr>
      <w:r w:rsidRPr="009D19E2">
        <w:rPr>
          <w:rFonts w:ascii="Arial" w:hAnsi="Arial"/>
          <w:b/>
          <w:u w:val="single"/>
        </w:rPr>
        <w:t>Utilisation de dépistage de drogue de rues urinaire</w:t>
      </w:r>
    </w:p>
    <w:p w14:paraId="37C41D47" w14:textId="77777777" w:rsidR="001639AF" w:rsidRDefault="001639AF" w:rsidP="001639AF">
      <w:pPr>
        <w:rPr>
          <w:rFonts w:ascii="Arial" w:hAnsi="Arial"/>
        </w:rPr>
      </w:pPr>
    </w:p>
    <w:p w14:paraId="79A3F3D2" w14:textId="77777777" w:rsidR="001639AF" w:rsidRDefault="001639AF" w:rsidP="001639AF">
      <w:pPr>
        <w:rPr>
          <w:rFonts w:ascii="Arial" w:hAnsi="Arial"/>
        </w:rPr>
      </w:pPr>
      <w:r>
        <w:rPr>
          <w:rFonts w:ascii="Arial" w:hAnsi="Arial"/>
        </w:rPr>
        <w:t>Le dépistage de drogues de rues urinaire peut être utile pour :</w:t>
      </w:r>
    </w:p>
    <w:p w14:paraId="21CDC6FD" w14:textId="77777777" w:rsidR="001639AF" w:rsidRDefault="001639AF" w:rsidP="001639AF">
      <w:pPr>
        <w:rPr>
          <w:rFonts w:ascii="Arial" w:hAnsi="Arial"/>
        </w:rPr>
      </w:pPr>
    </w:p>
    <w:p w14:paraId="6E578996" w14:textId="77777777" w:rsidR="001639AF" w:rsidRPr="00326B42" w:rsidRDefault="001639AF" w:rsidP="001639AF">
      <w:pPr>
        <w:pStyle w:val="ListParagraph"/>
        <w:numPr>
          <w:ilvl w:val="0"/>
          <w:numId w:val="4"/>
        </w:numPr>
        <w:rPr>
          <w:rFonts w:ascii="Arial" w:hAnsi="Arial"/>
        </w:rPr>
      </w:pPr>
      <w:r w:rsidRPr="00326B42">
        <w:rPr>
          <w:rFonts w:ascii="Arial" w:hAnsi="Arial"/>
        </w:rPr>
        <w:t>S’assurer de l’utilisation de substances, avant d’initier un traitement de substitution (e.g. opiacés)</w:t>
      </w:r>
    </w:p>
    <w:p w14:paraId="2F4629BE" w14:textId="77777777" w:rsidR="001639AF" w:rsidRPr="00326B42" w:rsidRDefault="001639AF" w:rsidP="001639AF">
      <w:pPr>
        <w:pStyle w:val="ListParagraph"/>
        <w:numPr>
          <w:ilvl w:val="0"/>
          <w:numId w:val="4"/>
        </w:numPr>
        <w:rPr>
          <w:rFonts w:ascii="Arial" w:hAnsi="Arial"/>
        </w:rPr>
      </w:pPr>
      <w:r>
        <w:rPr>
          <w:rFonts w:ascii="Arial" w:hAnsi="Arial"/>
        </w:rPr>
        <w:t>Encourager le maintien de l’abstinence</w:t>
      </w:r>
    </w:p>
    <w:p w14:paraId="31BC2761" w14:textId="77777777" w:rsidR="001639AF" w:rsidRDefault="001639AF" w:rsidP="001639AF">
      <w:pPr>
        <w:rPr>
          <w:rFonts w:ascii="Arial" w:hAnsi="Arial"/>
        </w:rPr>
      </w:pPr>
    </w:p>
    <w:p w14:paraId="1A3F8769" w14:textId="77777777" w:rsidR="001639AF" w:rsidRDefault="001639AF" w:rsidP="001639AF">
      <w:pPr>
        <w:rPr>
          <w:rFonts w:ascii="Arial" w:hAnsi="Arial"/>
        </w:rPr>
      </w:pPr>
      <w:r>
        <w:rPr>
          <w:rFonts w:ascii="Arial" w:hAnsi="Arial"/>
        </w:rPr>
        <w:t>Le dépistage doit être fait avec l’accord du patient, afin de conserver la confiance et le lien thérapeutique.</w:t>
      </w:r>
    </w:p>
    <w:p w14:paraId="123A9273" w14:textId="77777777" w:rsidR="001639AF" w:rsidRDefault="001639AF" w:rsidP="001639AF">
      <w:pPr>
        <w:rPr>
          <w:rFonts w:ascii="Arial" w:hAnsi="Arial"/>
        </w:rPr>
      </w:pPr>
    </w:p>
    <w:p w14:paraId="6C110E4E" w14:textId="77777777" w:rsidR="001639AF" w:rsidRPr="005704F2" w:rsidRDefault="001639AF" w:rsidP="001639AF">
      <w:pPr>
        <w:rPr>
          <w:rFonts w:ascii="Arial" w:hAnsi="Arial"/>
          <w:sz w:val="20"/>
          <w:szCs w:val="20"/>
          <w:u w:val="single"/>
        </w:rPr>
      </w:pPr>
      <w:r w:rsidRPr="00057E47">
        <w:rPr>
          <w:rFonts w:ascii="Arial" w:hAnsi="Arial"/>
          <w:u w:val="single"/>
        </w:rPr>
        <w:t>Tableau des temps de dépistage de substances consommées</w:t>
      </w:r>
      <w:r w:rsidRPr="00C20E0A">
        <w:rPr>
          <w:rFonts w:ascii="Arial" w:hAnsi="Arial"/>
        </w:rPr>
        <w:t xml:space="preserve">. </w:t>
      </w:r>
      <w:r w:rsidRPr="00C20E0A">
        <w:rPr>
          <w:rFonts w:ascii="Arial" w:hAnsi="Arial"/>
          <w:sz w:val="20"/>
          <w:szCs w:val="20"/>
        </w:rPr>
        <w:t xml:space="preserve">(Adapté de l’ASAM </w:t>
      </w:r>
      <w:proofErr w:type="spellStart"/>
      <w:r w:rsidRPr="00C20E0A">
        <w:rPr>
          <w:rFonts w:ascii="Arial" w:hAnsi="Arial"/>
          <w:sz w:val="20"/>
          <w:szCs w:val="20"/>
        </w:rPr>
        <w:t>handbook</w:t>
      </w:r>
      <w:proofErr w:type="spellEnd"/>
      <w:r w:rsidRPr="00C20E0A">
        <w:rPr>
          <w:rFonts w:ascii="Arial" w:hAnsi="Arial"/>
          <w:sz w:val="20"/>
          <w:szCs w:val="20"/>
        </w:rPr>
        <w:t xml:space="preserve"> of addiction </w:t>
      </w:r>
      <w:proofErr w:type="spellStart"/>
      <w:r w:rsidRPr="00C20E0A">
        <w:rPr>
          <w:rFonts w:ascii="Arial" w:hAnsi="Arial"/>
          <w:sz w:val="20"/>
          <w:szCs w:val="20"/>
        </w:rPr>
        <w:t>medicine</w:t>
      </w:r>
      <w:proofErr w:type="spellEnd"/>
      <w:r w:rsidRPr="00C20E0A">
        <w:rPr>
          <w:rFonts w:ascii="Arial" w:hAnsi="Arial"/>
          <w:sz w:val="20"/>
          <w:szCs w:val="20"/>
        </w:rPr>
        <w:t xml:space="preserve"> (2016))</w:t>
      </w:r>
    </w:p>
    <w:p w14:paraId="655EBFF1" w14:textId="77777777" w:rsidR="001639AF" w:rsidRDefault="001639AF" w:rsidP="001639AF">
      <w:pPr>
        <w:rPr>
          <w:rFonts w:ascii="Arial" w:hAnsi="Arial"/>
        </w:rPr>
      </w:pPr>
    </w:p>
    <w:tbl>
      <w:tblPr>
        <w:tblStyle w:val="TableGrid"/>
        <w:tblW w:w="0" w:type="auto"/>
        <w:tblLook w:val="04A0" w:firstRow="1" w:lastRow="0" w:firstColumn="1" w:lastColumn="0" w:noHBand="0" w:noVBand="1"/>
      </w:tblPr>
      <w:tblGrid>
        <w:gridCol w:w="3510"/>
        <w:gridCol w:w="5346"/>
      </w:tblGrid>
      <w:tr w:rsidR="001639AF" w14:paraId="43EBC47E" w14:textId="77777777" w:rsidTr="00E41B46">
        <w:tc>
          <w:tcPr>
            <w:tcW w:w="3510" w:type="dxa"/>
          </w:tcPr>
          <w:p w14:paraId="7EF67942" w14:textId="77777777" w:rsidR="001639AF" w:rsidRDefault="001639AF" w:rsidP="00E41B46">
            <w:pPr>
              <w:jc w:val="center"/>
              <w:rPr>
                <w:rFonts w:ascii="Arial" w:hAnsi="Arial"/>
              </w:rPr>
            </w:pPr>
            <w:r>
              <w:rPr>
                <w:rFonts w:ascii="Arial" w:hAnsi="Arial"/>
              </w:rPr>
              <w:t>Drogues</w:t>
            </w:r>
          </w:p>
        </w:tc>
        <w:tc>
          <w:tcPr>
            <w:tcW w:w="5346" w:type="dxa"/>
          </w:tcPr>
          <w:p w14:paraId="5096CAB8" w14:textId="77777777" w:rsidR="001639AF" w:rsidRDefault="001639AF" w:rsidP="00E41B46">
            <w:pPr>
              <w:jc w:val="center"/>
              <w:rPr>
                <w:rFonts w:ascii="Arial" w:hAnsi="Arial"/>
              </w:rPr>
            </w:pPr>
            <w:r>
              <w:rPr>
                <w:rFonts w:ascii="Arial" w:hAnsi="Arial"/>
              </w:rPr>
              <w:t>Temps de dépistage post-usage (jours)</w:t>
            </w:r>
          </w:p>
        </w:tc>
      </w:tr>
      <w:tr w:rsidR="001639AF" w14:paraId="30F36171" w14:textId="77777777" w:rsidTr="00E41B46">
        <w:tc>
          <w:tcPr>
            <w:tcW w:w="3510" w:type="dxa"/>
          </w:tcPr>
          <w:p w14:paraId="46DDF2D6" w14:textId="77777777" w:rsidR="001639AF" w:rsidRDefault="001639AF" w:rsidP="00E41B46">
            <w:pPr>
              <w:rPr>
                <w:rFonts w:ascii="Arial" w:hAnsi="Arial"/>
              </w:rPr>
            </w:pPr>
            <w:r>
              <w:rPr>
                <w:rFonts w:ascii="Arial" w:hAnsi="Arial"/>
              </w:rPr>
              <w:t>Amphétamines</w:t>
            </w:r>
          </w:p>
        </w:tc>
        <w:tc>
          <w:tcPr>
            <w:tcW w:w="5346" w:type="dxa"/>
          </w:tcPr>
          <w:p w14:paraId="4BB9C625" w14:textId="77777777" w:rsidR="001639AF" w:rsidRDefault="001639AF" w:rsidP="00E41B46">
            <w:pPr>
              <w:rPr>
                <w:rFonts w:ascii="Arial" w:hAnsi="Arial"/>
              </w:rPr>
            </w:pPr>
            <w:r>
              <w:rPr>
                <w:rFonts w:ascii="Arial" w:hAnsi="Arial"/>
              </w:rPr>
              <w:t>3</w:t>
            </w:r>
          </w:p>
        </w:tc>
      </w:tr>
      <w:tr w:rsidR="001639AF" w14:paraId="57AD5254" w14:textId="77777777" w:rsidTr="00E41B46">
        <w:tc>
          <w:tcPr>
            <w:tcW w:w="3510" w:type="dxa"/>
          </w:tcPr>
          <w:p w14:paraId="03EE0A64" w14:textId="77777777" w:rsidR="001639AF" w:rsidRDefault="001639AF" w:rsidP="00E41B46">
            <w:pPr>
              <w:rPr>
                <w:rFonts w:ascii="Arial" w:hAnsi="Arial"/>
              </w:rPr>
            </w:pPr>
            <w:r>
              <w:rPr>
                <w:rFonts w:ascii="Arial" w:hAnsi="Arial"/>
              </w:rPr>
              <w:t>Benzodiazépines</w:t>
            </w:r>
          </w:p>
        </w:tc>
        <w:tc>
          <w:tcPr>
            <w:tcW w:w="5346" w:type="dxa"/>
          </w:tcPr>
          <w:p w14:paraId="5E1145BD" w14:textId="77777777" w:rsidR="001639AF" w:rsidRDefault="001639AF" w:rsidP="00E41B46">
            <w:pPr>
              <w:rPr>
                <w:rFonts w:ascii="Arial" w:hAnsi="Arial"/>
              </w:rPr>
            </w:pPr>
            <w:r>
              <w:rPr>
                <w:rFonts w:ascii="Arial" w:hAnsi="Arial"/>
              </w:rPr>
              <w:t>7</w:t>
            </w:r>
          </w:p>
        </w:tc>
      </w:tr>
      <w:tr w:rsidR="001639AF" w14:paraId="29FA8779" w14:textId="77777777" w:rsidTr="00E41B46">
        <w:tc>
          <w:tcPr>
            <w:tcW w:w="3510" w:type="dxa"/>
          </w:tcPr>
          <w:p w14:paraId="2F3C4538" w14:textId="77777777" w:rsidR="001639AF" w:rsidRDefault="001639AF" w:rsidP="00E41B46">
            <w:pPr>
              <w:rPr>
                <w:rFonts w:ascii="Arial" w:hAnsi="Arial"/>
              </w:rPr>
            </w:pPr>
            <w:r>
              <w:rPr>
                <w:rFonts w:ascii="Arial" w:hAnsi="Arial"/>
              </w:rPr>
              <w:t>Marijuana</w:t>
            </w:r>
          </w:p>
        </w:tc>
        <w:tc>
          <w:tcPr>
            <w:tcW w:w="5346" w:type="dxa"/>
          </w:tcPr>
          <w:p w14:paraId="363853FB" w14:textId="77777777" w:rsidR="001639AF" w:rsidRDefault="001639AF" w:rsidP="00E41B46">
            <w:pPr>
              <w:rPr>
                <w:rFonts w:ascii="Arial" w:hAnsi="Arial"/>
              </w:rPr>
            </w:pPr>
            <w:r>
              <w:rPr>
                <w:rFonts w:ascii="Arial" w:hAnsi="Arial"/>
              </w:rPr>
              <w:t>7 (usage léger) 21 et + (usage régulier)</w:t>
            </w:r>
          </w:p>
        </w:tc>
      </w:tr>
      <w:tr w:rsidR="001639AF" w14:paraId="19BEB4B0" w14:textId="77777777" w:rsidTr="00E41B46">
        <w:tc>
          <w:tcPr>
            <w:tcW w:w="3510" w:type="dxa"/>
          </w:tcPr>
          <w:p w14:paraId="0B2BE4C8" w14:textId="77777777" w:rsidR="001639AF" w:rsidRDefault="001639AF" w:rsidP="00E41B46">
            <w:pPr>
              <w:rPr>
                <w:rFonts w:ascii="Arial" w:hAnsi="Arial"/>
              </w:rPr>
            </w:pPr>
            <w:r>
              <w:rPr>
                <w:rFonts w:ascii="Arial" w:hAnsi="Arial"/>
              </w:rPr>
              <w:t>Cocaïne</w:t>
            </w:r>
          </w:p>
        </w:tc>
        <w:tc>
          <w:tcPr>
            <w:tcW w:w="5346" w:type="dxa"/>
          </w:tcPr>
          <w:p w14:paraId="2DF48C7F" w14:textId="77777777" w:rsidR="001639AF" w:rsidRDefault="001639AF" w:rsidP="00E41B46">
            <w:pPr>
              <w:rPr>
                <w:rFonts w:ascii="Arial" w:hAnsi="Arial"/>
              </w:rPr>
            </w:pPr>
            <w:r>
              <w:rPr>
                <w:rFonts w:ascii="Arial" w:hAnsi="Arial"/>
              </w:rPr>
              <w:t>3 (usage léger) 22 et + (usage régulier)</w:t>
            </w:r>
          </w:p>
        </w:tc>
      </w:tr>
      <w:tr w:rsidR="001639AF" w14:paraId="0F696858" w14:textId="77777777" w:rsidTr="00E41B46">
        <w:tc>
          <w:tcPr>
            <w:tcW w:w="3510" w:type="dxa"/>
          </w:tcPr>
          <w:p w14:paraId="44268187" w14:textId="77777777" w:rsidR="001639AF" w:rsidRDefault="001639AF" w:rsidP="00E41B46">
            <w:pPr>
              <w:rPr>
                <w:rFonts w:ascii="Arial" w:hAnsi="Arial"/>
              </w:rPr>
            </w:pPr>
            <w:r>
              <w:rPr>
                <w:rFonts w:ascii="Arial" w:hAnsi="Arial"/>
              </w:rPr>
              <w:t>Héroïne</w:t>
            </w:r>
          </w:p>
        </w:tc>
        <w:tc>
          <w:tcPr>
            <w:tcW w:w="5346" w:type="dxa"/>
          </w:tcPr>
          <w:p w14:paraId="1443FDB9" w14:textId="77777777" w:rsidR="001639AF" w:rsidRDefault="001639AF" w:rsidP="00E41B46">
            <w:pPr>
              <w:rPr>
                <w:rFonts w:ascii="Arial" w:hAnsi="Arial"/>
              </w:rPr>
            </w:pPr>
            <w:r>
              <w:rPr>
                <w:rFonts w:ascii="Arial" w:hAnsi="Arial"/>
              </w:rPr>
              <w:t>3</w:t>
            </w:r>
          </w:p>
        </w:tc>
      </w:tr>
      <w:tr w:rsidR="001639AF" w14:paraId="76A3A281" w14:textId="77777777" w:rsidTr="00E41B46">
        <w:tc>
          <w:tcPr>
            <w:tcW w:w="3510" w:type="dxa"/>
          </w:tcPr>
          <w:p w14:paraId="59D4AC0B" w14:textId="77777777" w:rsidR="001639AF" w:rsidRDefault="001639AF" w:rsidP="00E41B46">
            <w:pPr>
              <w:rPr>
                <w:rFonts w:ascii="Arial" w:hAnsi="Arial"/>
              </w:rPr>
            </w:pPr>
            <w:r>
              <w:rPr>
                <w:rFonts w:ascii="Arial" w:hAnsi="Arial"/>
              </w:rPr>
              <w:t>LSD</w:t>
            </w:r>
          </w:p>
        </w:tc>
        <w:tc>
          <w:tcPr>
            <w:tcW w:w="5346" w:type="dxa"/>
          </w:tcPr>
          <w:p w14:paraId="4ED9050D" w14:textId="77777777" w:rsidR="001639AF" w:rsidRDefault="001639AF" w:rsidP="00E41B46">
            <w:pPr>
              <w:rPr>
                <w:rFonts w:ascii="Arial" w:hAnsi="Arial"/>
              </w:rPr>
            </w:pPr>
            <w:r>
              <w:rPr>
                <w:rFonts w:ascii="Arial" w:hAnsi="Arial"/>
              </w:rPr>
              <w:t>5</w:t>
            </w:r>
          </w:p>
        </w:tc>
      </w:tr>
      <w:tr w:rsidR="001639AF" w14:paraId="71D47CDE" w14:textId="77777777" w:rsidTr="00E41B46">
        <w:tc>
          <w:tcPr>
            <w:tcW w:w="3510" w:type="dxa"/>
          </w:tcPr>
          <w:p w14:paraId="7E9E2672" w14:textId="77777777" w:rsidR="001639AF" w:rsidRDefault="001639AF" w:rsidP="00E41B46">
            <w:pPr>
              <w:rPr>
                <w:rFonts w:ascii="Arial" w:hAnsi="Arial"/>
              </w:rPr>
            </w:pPr>
            <w:r>
              <w:rPr>
                <w:rFonts w:ascii="Arial" w:hAnsi="Arial"/>
              </w:rPr>
              <w:t>PCP</w:t>
            </w:r>
          </w:p>
        </w:tc>
        <w:tc>
          <w:tcPr>
            <w:tcW w:w="5346" w:type="dxa"/>
          </w:tcPr>
          <w:p w14:paraId="1435DFB9" w14:textId="77777777" w:rsidR="001639AF" w:rsidRDefault="001639AF" w:rsidP="00E41B46">
            <w:pPr>
              <w:rPr>
                <w:rFonts w:ascii="Arial" w:hAnsi="Arial"/>
              </w:rPr>
            </w:pPr>
            <w:r>
              <w:rPr>
                <w:rFonts w:ascii="Arial" w:hAnsi="Arial"/>
              </w:rPr>
              <w:t>7 (une seule dose), 21(usage régulier)</w:t>
            </w:r>
          </w:p>
        </w:tc>
      </w:tr>
      <w:tr w:rsidR="001639AF" w14:paraId="0C4E0586" w14:textId="77777777" w:rsidTr="00E41B46">
        <w:tc>
          <w:tcPr>
            <w:tcW w:w="3510" w:type="dxa"/>
          </w:tcPr>
          <w:p w14:paraId="7FC7477B" w14:textId="77777777" w:rsidR="001639AF" w:rsidRDefault="001639AF" w:rsidP="00E41B46">
            <w:pPr>
              <w:rPr>
                <w:rFonts w:ascii="Arial" w:hAnsi="Arial"/>
              </w:rPr>
            </w:pPr>
            <w:r>
              <w:rPr>
                <w:rFonts w:ascii="Arial" w:hAnsi="Arial"/>
              </w:rPr>
              <w:t>Opiacés</w:t>
            </w:r>
          </w:p>
        </w:tc>
        <w:tc>
          <w:tcPr>
            <w:tcW w:w="5346" w:type="dxa"/>
          </w:tcPr>
          <w:p w14:paraId="1B0E3D2F" w14:textId="77777777" w:rsidR="001639AF" w:rsidRDefault="001639AF" w:rsidP="00E41B46">
            <w:pPr>
              <w:rPr>
                <w:rFonts w:ascii="Arial" w:hAnsi="Arial"/>
              </w:rPr>
            </w:pPr>
            <w:r>
              <w:rPr>
                <w:rFonts w:ascii="Arial" w:hAnsi="Arial"/>
              </w:rPr>
              <w:t xml:space="preserve">3 </w:t>
            </w:r>
          </w:p>
        </w:tc>
      </w:tr>
    </w:tbl>
    <w:p w14:paraId="2836AA2A" w14:textId="77777777" w:rsidR="001639AF" w:rsidRDefault="001639AF" w:rsidP="001639AF">
      <w:pPr>
        <w:rPr>
          <w:rFonts w:ascii="Arial" w:hAnsi="Arial"/>
        </w:rPr>
      </w:pPr>
    </w:p>
    <w:p w14:paraId="5EB29B59" w14:textId="77777777" w:rsidR="001639AF" w:rsidRDefault="001639AF" w:rsidP="0042101F">
      <w:pPr>
        <w:rPr>
          <w:rFonts w:ascii="Arial" w:hAnsi="Arial"/>
        </w:rPr>
      </w:pPr>
    </w:p>
    <w:p w14:paraId="45293E4B" w14:textId="77777777" w:rsidR="003B37C1" w:rsidRDefault="003B37C1" w:rsidP="0042101F">
      <w:pPr>
        <w:rPr>
          <w:rFonts w:ascii="Arial" w:hAnsi="Arial"/>
        </w:rPr>
      </w:pPr>
    </w:p>
    <w:p w14:paraId="5A4792E5" w14:textId="784486C2" w:rsidR="003B37C1" w:rsidRPr="003B37C1" w:rsidRDefault="003B37C1" w:rsidP="0042101F">
      <w:pPr>
        <w:rPr>
          <w:rFonts w:ascii="Arial" w:hAnsi="Arial"/>
          <w:b/>
        </w:rPr>
      </w:pPr>
      <w:r w:rsidRPr="003B37C1">
        <w:rPr>
          <w:rFonts w:ascii="Arial" w:hAnsi="Arial"/>
          <w:b/>
        </w:rPr>
        <w:t>Étapes de changements en dépendance.</w:t>
      </w:r>
    </w:p>
    <w:p w14:paraId="39752906" w14:textId="77777777" w:rsidR="001639AF" w:rsidRDefault="001639AF" w:rsidP="001639AF">
      <w:pPr>
        <w:rPr>
          <w:rFonts w:ascii="Arial" w:hAnsi="Arial"/>
        </w:rPr>
      </w:pPr>
    </w:p>
    <w:p w14:paraId="5EB39C07" w14:textId="77777777" w:rsidR="001639AF" w:rsidRDefault="001639AF" w:rsidP="001639AF">
      <w:pPr>
        <w:rPr>
          <w:rFonts w:ascii="Arial" w:hAnsi="Arial"/>
          <w:u w:val="single"/>
        </w:rPr>
      </w:pPr>
      <w:r w:rsidRPr="00B070FF">
        <w:rPr>
          <w:rFonts w:ascii="Arial" w:hAnsi="Arial"/>
          <w:u w:val="single"/>
        </w:rPr>
        <w:t>Étapes de dépendance et sobriété</w:t>
      </w:r>
    </w:p>
    <w:p w14:paraId="2B759202" w14:textId="77777777" w:rsidR="001639AF" w:rsidRDefault="001639AF" w:rsidP="001639AF">
      <w:pPr>
        <w:rPr>
          <w:rFonts w:ascii="Arial" w:hAnsi="Arial"/>
          <w:u w:val="single"/>
        </w:rPr>
      </w:pPr>
    </w:p>
    <w:p w14:paraId="586F2BEB" w14:textId="77777777" w:rsidR="001639AF" w:rsidRDefault="001639AF" w:rsidP="001639AF">
      <w:pPr>
        <w:rPr>
          <w:rFonts w:ascii="Arial" w:hAnsi="Arial"/>
        </w:rPr>
      </w:pPr>
      <w:r>
        <w:rPr>
          <w:rFonts w:ascii="Arial" w:hAnsi="Arial"/>
        </w:rPr>
        <w:t xml:space="preserve">James </w:t>
      </w:r>
      <w:proofErr w:type="spellStart"/>
      <w:r>
        <w:rPr>
          <w:rFonts w:ascii="Arial" w:hAnsi="Arial"/>
        </w:rPr>
        <w:t>Prochaska</w:t>
      </w:r>
      <w:proofErr w:type="spellEnd"/>
      <w:r>
        <w:rPr>
          <w:rFonts w:ascii="Arial" w:hAnsi="Arial"/>
        </w:rPr>
        <w:t>, en 1992, a publié un article sur le cheminement qu’une personne fait pour changer de comportement; ceci s’applique très bien lorsqu’on parle de dépendance.</w:t>
      </w:r>
      <w:r>
        <w:rPr>
          <w:rFonts w:ascii="Arial" w:hAnsi="Arial"/>
        </w:rPr>
        <w:fldChar w:fldCharType="begin"/>
      </w:r>
      <w:r>
        <w:rPr>
          <w:rFonts w:ascii="Arial" w:hAnsi="Arial"/>
        </w:rPr>
        <w:instrText xml:space="preserve"> ADDIN EN.CITE &lt;EndNote&gt;&lt;Cite&gt;&lt;Author&gt;Prochaska&lt;/Author&gt;&lt;Year&gt;1992&lt;/Year&gt;&lt;RecNum&gt;61&lt;/RecNum&gt;&lt;DisplayText&gt;&lt;style face="superscript"&gt;2&lt;/style&gt;&lt;/DisplayText&gt;&lt;record&gt;&lt;rec-number&gt;61&lt;/rec-number&gt;&lt;foreign-keys&gt;&lt;key app="EN" db-id="2ra50wwfae0avpezff1x000lezr9zdazsdzr" timestamp="1455460540"&gt;61&lt;/key&gt;&lt;/foreign-keys&gt;&lt;ref-type name="Journal Article"&gt;17&lt;/ref-type&gt;&lt;contributors&gt;&lt;authors&gt;&lt;author&gt;Prochaska, J. O.&lt;/author&gt;&lt;author&gt;DiClemente, C. C.&lt;/author&gt;&lt;author&gt;Norcross, J. C.&lt;/author&gt;&lt;/authors&gt;&lt;/contributors&gt;&lt;auth-address&gt;Cancer Prevention Research Consortium, University of Rhode Island, Kingston 02881.&lt;/auth-address&gt;&lt;titles&gt;&lt;title&gt;In search of how people change. Applications to addictive behaviors&lt;/title&gt;&lt;secondary-title&gt;Am Psychol&lt;/secondary-title&gt;&lt;/titles&gt;&lt;periodical&gt;&lt;full-title&gt;Am Psychol&lt;/full-title&gt;&lt;/periodical&gt;&lt;pages&gt;1102-14&lt;/pages&gt;&lt;volume&gt;47&lt;/volume&gt;&lt;number&gt;9&lt;/number&gt;&lt;keywords&gt;&lt;keyword&gt;Aftercare/psychology&lt;/keyword&gt;&lt;keyword&gt;Behavior, Addictive/psychology/*rehabilitation&lt;/keyword&gt;&lt;keyword&gt;Health Maintenance Organizations&lt;/keyword&gt;&lt;keyword&gt;Humans&lt;/keyword&gt;&lt;keyword&gt;*Motivation&lt;/keyword&gt;&lt;keyword&gt;Outcome and Process Assessment (Health Care)&lt;/keyword&gt;&lt;keyword&gt;*Psychotherapy&lt;/keyword&gt;&lt;keyword&gt;Smoking Cessation/psychology&lt;/keyword&gt;&lt;keyword&gt;Social Support&lt;/keyword&gt;&lt;/keywords&gt;&lt;dates&gt;&lt;year&gt;1992&lt;/year&gt;&lt;pub-dates&gt;&lt;date&gt;Sep&lt;/date&gt;&lt;/pub-dates&gt;&lt;/dates&gt;&lt;isbn&gt;0003-066X (Print)&amp;#xD;0003-066X (Linking)&lt;/isbn&gt;&lt;accession-num&gt;1329589&lt;/accession-num&gt;&lt;urls&gt;&lt;related-urls&gt;&lt;url&gt;http://www.ncbi.nlm.nih.gov/pubmed/1329589&lt;/url&gt;&lt;/related-urls&gt;&lt;/urls&gt;&lt;/record&gt;&lt;/Cite&gt;&lt;/EndNote&gt;</w:instrText>
      </w:r>
      <w:r>
        <w:rPr>
          <w:rFonts w:ascii="Arial" w:hAnsi="Arial"/>
        </w:rPr>
        <w:fldChar w:fldCharType="separate"/>
      </w:r>
      <w:r w:rsidRPr="00BA14DA">
        <w:rPr>
          <w:rFonts w:ascii="Arial" w:hAnsi="Arial"/>
          <w:noProof/>
          <w:vertAlign w:val="superscript"/>
        </w:rPr>
        <w:t>2</w:t>
      </w:r>
      <w:r>
        <w:rPr>
          <w:rFonts w:ascii="Arial" w:hAnsi="Arial"/>
        </w:rPr>
        <w:fldChar w:fldCharType="end"/>
      </w:r>
    </w:p>
    <w:p w14:paraId="38FA857C" w14:textId="77777777" w:rsidR="00727D35" w:rsidRDefault="00727D35" w:rsidP="0042101F">
      <w:pPr>
        <w:rPr>
          <w:rFonts w:ascii="Arial" w:hAnsi="Arial"/>
        </w:rPr>
      </w:pPr>
    </w:p>
    <w:p w14:paraId="7DDFB551" w14:textId="67C416E2" w:rsidR="00727D35" w:rsidRDefault="003B37C1" w:rsidP="0042101F">
      <w:pPr>
        <w:rPr>
          <w:rFonts w:ascii="Arial" w:hAnsi="Arial"/>
        </w:rPr>
      </w:pPr>
      <w:r>
        <w:rPr>
          <w:rFonts w:ascii="Arial" w:hAnsi="Arial"/>
          <w:noProof/>
          <w:lang w:val="en-US"/>
        </w:rPr>
        <w:lastRenderedPageBreak/>
        <w:drawing>
          <wp:inline distT="0" distB="0" distL="0" distR="0" wp14:anchorId="68AEC48D" wp14:editId="1FA51BD9">
            <wp:extent cx="2738120" cy="3200400"/>
            <wp:effectExtent l="0" t="25400" r="0" b="7620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14:paraId="52BADA20" w14:textId="77777777" w:rsidR="00DC36AD" w:rsidRDefault="00DC36AD" w:rsidP="0042101F">
      <w:pPr>
        <w:rPr>
          <w:rFonts w:ascii="Arial" w:hAnsi="Arial"/>
        </w:rPr>
      </w:pPr>
    </w:p>
    <w:p w14:paraId="654EE2A0" w14:textId="77777777" w:rsidR="00DC36AD" w:rsidRDefault="00DC36AD" w:rsidP="0042101F">
      <w:pPr>
        <w:rPr>
          <w:rFonts w:ascii="Arial" w:hAnsi="Arial"/>
        </w:rPr>
      </w:pPr>
    </w:p>
    <w:p w14:paraId="301C40F7" w14:textId="77777777" w:rsidR="00DC36AD" w:rsidRDefault="00DC36AD" w:rsidP="0042101F">
      <w:pPr>
        <w:rPr>
          <w:rFonts w:ascii="Arial" w:hAnsi="Arial"/>
          <w:u w:val="single"/>
        </w:rPr>
      </w:pPr>
    </w:p>
    <w:p w14:paraId="46F4FF26" w14:textId="77777777" w:rsidR="00DC36AD" w:rsidRDefault="00DC36AD" w:rsidP="0042101F">
      <w:pPr>
        <w:rPr>
          <w:rFonts w:ascii="Arial" w:hAnsi="Arial"/>
          <w:u w:val="single"/>
        </w:rPr>
      </w:pPr>
    </w:p>
    <w:p w14:paraId="3FED3038" w14:textId="77777777" w:rsidR="00DC36AD" w:rsidRDefault="00DC36AD" w:rsidP="0042101F">
      <w:pPr>
        <w:rPr>
          <w:rFonts w:ascii="Arial" w:hAnsi="Arial"/>
          <w:u w:val="single"/>
        </w:rPr>
      </w:pPr>
    </w:p>
    <w:p w14:paraId="1E590EA3" w14:textId="6F9D0285" w:rsidR="00DC36AD" w:rsidRPr="00DC36AD" w:rsidRDefault="00DC36AD" w:rsidP="0042101F">
      <w:pPr>
        <w:rPr>
          <w:rFonts w:ascii="Arial" w:hAnsi="Arial"/>
          <w:u w:val="single"/>
        </w:rPr>
      </w:pPr>
      <w:r w:rsidRPr="00DC36AD">
        <w:rPr>
          <w:rFonts w:ascii="Arial" w:hAnsi="Arial"/>
          <w:u w:val="single"/>
        </w:rPr>
        <w:t>Précontemplation </w:t>
      </w:r>
    </w:p>
    <w:p w14:paraId="75769FC0" w14:textId="77777777" w:rsidR="00DC36AD" w:rsidRDefault="00DC36AD" w:rsidP="0042101F">
      <w:pPr>
        <w:rPr>
          <w:rFonts w:ascii="Arial" w:hAnsi="Arial"/>
        </w:rPr>
      </w:pPr>
    </w:p>
    <w:p w14:paraId="62DB7744" w14:textId="797A073A" w:rsidR="00DC36AD" w:rsidRDefault="00DC36AD" w:rsidP="0042101F">
      <w:pPr>
        <w:rPr>
          <w:rFonts w:ascii="Arial" w:hAnsi="Arial"/>
        </w:rPr>
      </w:pPr>
      <w:r>
        <w:rPr>
          <w:rFonts w:ascii="Arial" w:hAnsi="Arial"/>
        </w:rPr>
        <w:t xml:space="preserve">L’individu n’est pas prêt de considérer un changement. Il y a souvent une absence d’introspection par rapport à </w:t>
      </w:r>
      <w:proofErr w:type="gramStart"/>
      <w:r>
        <w:rPr>
          <w:rFonts w:ascii="Arial" w:hAnsi="Arial"/>
        </w:rPr>
        <w:t>une</w:t>
      </w:r>
      <w:proofErr w:type="gramEnd"/>
      <w:r>
        <w:rPr>
          <w:rFonts w:ascii="Arial" w:hAnsi="Arial"/>
        </w:rPr>
        <w:t xml:space="preserve"> possible problématique de consommation. Il est inutile pour le médecin d’encourager l’arrêt de consommation à cette étape-ci, et les interventions devraient cibler l’aide au cheminement vers l’étape de contemplation.</w:t>
      </w:r>
      <w:r w:rsidR="004D2C69">
        <w:rPr>
          <w:rFonts w:ascii="Arial" w:hAnsi="Arial"/>
        </w:rPr>
        <w:t xml:space="preserve"> Pour aider l’individu à cheminer, les entrevues motivationnelles peuvent aider.</w:t>
      </w:r>
    </w:p>
    <w:p w14:paraId="597443FD" w14:textId="77777777" w:rsidR="004D2C69" w:rsidRDefault="004D2C69" w:rsidP="0042101F">
      <w:pPr>
        <w:rPr>
          <w:rFonts w:ascii="Arial" w:hAnsi="Arial"/>
        </w:rPr>
      </w:pPr>
    </w:p>
    <w:p w14:paraId="5C612DEE" w14:textId="172BE851" w:rsidR="004D2C69" w:rsidRPr="004D2C69" w:rsidRDefault="004D2C69" w:rsidP="0042101F">
      <w:pPr>
        <w:rPr>
          <w:rFonts w:ascii="Arial" w:hAnsi="Arial"/>
          <w:u w:val="single"/>
        </w:rPr>
      </w:pPr>
      <w:r w:rsidRPr="004D2C69">
        <w:rPr>
          <w:rFonts w:ascii="Arial" w:hAnsi="Arial"/>
          <w:u w:val="single"/>
        </w:rPr>
        <w:t>Contemplation</w:t>
      </w:r>
    </w:p>
    <w:p w14:paraId="566BFF37" w14:textId="77777777" w:rsidR="00B070FF" w:rsidRDefault="00B070FF" w:rsidP="0042101F">
      <w:pPr>
        <w:rPr>
          <w:rFonts w:ascii="Arial" w:hAnsi="Arial"/>
        </w:rPr>
      </w:pPr>
    </w:p>
    <w:p w14:paraId="0A7C31A3" w14:textId="27CDCCF2" w:rsidR="004D2C69" w:rsidRDefault="004D2C69" w:rsidP="0042101F">
      <w:pPr>
        <w:rPr>
          <w:rFonts w:ascii="Arial" w:hAnsi="Arial"/>
        </w:rPr>
      </w:pPr>
      <w:r>
        <w:rPr>
          <w:rFonts w:ascii="Arial" w:hAnsi="Arial"/>
        </w:rPr>
        <w:t>L’individu reconnait qu’il a un problème de consommation, mais n’est pas convaincu du bienfait d’arrêter. Consciemment ou non, l’individu évalue les bénéfices et risques de consommer/arrêter.</w:t>
      </w:r>
      <w:r w:rsidR="004D4151">
        <w:rPr>
          <w:rFonts w:ascii="Arial" w:hAnsi="Arial"/>
        </w:rPr>
        <w:t xml:space="preserve"> L’individu peut bénéficier d’une approche motivationnelle.</w:t>
      </w:r>
    </w:p>
    <w:p w14:paraId="1D3C16FD" w14:textId="77777777" w:rsidR="004D4151" w:rsidRDefault="004D4151" w:rsidP="0042101F">
      <w:pPr>
        <w:rPr>
          <w:rFonts w:ascii="Arial" w:hAnsi="Arial"/>
        </w:rPr>
      </w:pPr>
    </w:p>
    <w:p w14:paraId="254AAECB" w14:textId="2D4A346D" w:rsidR="004D4151" w:rsidRDefault="004D4151" w:rsidP="0042101F">
      <w:pPr>
        <w:rPr>
          <w:rFonts w:ascii="Arial" w:hAnsi="Arial"/>
        </w:rPr>
      </w:pPr>
      <w:r w:rsidRPr="004D4151">
        <w:rPr>
          <w:rFonts w:ascii="Arial" w:hAnsi="Arial"/>
          <w:u w:val="single"/>
        </w:rPr>
        <w:t>Détermination/action</w:t>
      </w:r>
    </w:p>
    <w:p w14:paraId="12CA0CEC" w14:textId="77777777" w:rsidR="004D4151" w:rsidRDefault="004D4151" w:rsidP="0042101F">
      <w:pPr>
        <w:rPr>
          <w:rFonts w:ascii="Arial" w:hAnsi="Arial"/>
        </w:rPr>
      </w:pPr>
    </w:p>
    <w:p w14:paraId="6C5E6C9C" w14:textId="7986B9A4" w:rsidR="004D4151" w:rsidRDefault="007839AF" w:rsidP="0042101F">
      <w:pPr>
        <w:rPr>
          <w:rFonts w:ascii="Arial" w:hAnsi="Arial"/>
        </w:rPr>
      </w:pPr>
      <w:r>
        <w:rPr>
          <w:rFonts w:ascii="Arial" w:hAnsi="Arial"/>
        </w:rPr>
        <w:t>L’individu est prêt et motivé pour cesser sa consommation. L’individu met en place des stratégies pour cesser, soit en changeant son environnement, ses amis, activités etc.</w:t>
      </w:r>
    </w:p>
    <w:p w14:paraId="5D951FB7" w14:textId="77777777" w:rsidR="006209E2" w:rsidRDefault="006209E2" w:rsidP="0042101F">
      <w:pPr>
        <w:rPr>
          <w:rFonts w:ascii="Arial" w:hAnsi="Arial"/>
        </w:rPr>
      </w:pPr>
    </w:p>
    <w:p w14:paraId="3CEEAA70" w14:textId="070B525D" w:rsidR="006209E2" w:rsidRPr="006209E2" w:rsidRDefault="006209E2" w:rsidP="0042101F">
      <w:pPr>
        <w:rPr>
          <w:rFonts w:ascii="Arial" w:hAnsi="Arial"/>
          <w:u w:val="single"/>
        </w:rPr>
      </w:pPr>
      <w:r w:rsidRPr="006209E2">
        <w:rPr>
          <w:rFonts w:ascii="Arial" w:hAnsi="Arial"/>
          <w:u w:val="single"/>
        </w:rPr>
        <w:t>Maintien</w:t>
      </w:r>
      <w:r w:rsidR="000B54A4">
        <w:rPr>
          <w:rFonts w:ascii="Arial" w:hAnsi="Arial"/>
          <w:u w:val="single"/>
        </w:rPr>
        <w:t xml:space="preserve"> puis Abstinence</w:t>
      </w:r>
    </w:p>
    <w:p w14:paraId="27FD9D6F" w14:textId="77777777" w:rsidR="00727D35" w:rsidRDefault="00727D35" w:rsidP="0042101F">
      <w:pPr>
        <w:rPr>
          <w:rFonts w:ascii="Arial" w:hAnsi="Arial"/>
        </w:rPr>
      </w:pPr>
    </w:p>
    <w:p w14:paraId="7441A7DC" w14:textId="7F382CC3" w:rsidR="00727D35" w:rsidRDefault="006209E2" w:rsidP="0042101F">
      <w:pPr>
        <w:rPr>
          <w:rFonts w:ascii="Arial" w:hAnsi="Arial"/>
        </w:rPr>
      </w:pPr>
      <w:r>
        <w:rPr>
          <w:rFonts w:ascii="Arial" w:hAnsi="Arial"/>
        </w:rPr>
        <w:t>L’individu veux maintenir sa sobriété, et désire harmoniser ses relations avec amis et familles.</w:t>
      </w:r>
    </w:p>
    <w:p w14:paraId="595BD57B" w14:textId="77777777" w:rsidR="000E186A" w:rsidRDefault="000E186A" w:rsidP="0042101F">
      <w:pPr>
        <w:rPr>
          <w:rFonts w:ascii="Arial" w:hAnsi="Arial"/>
        </w:rPr>
      </w:pPr>
    </w:p>
    <w:p w14:paraId="3319A70D" w14:textId="7A2A6F9E" w:rsidR="000E186A" w:rsidRDefault="000E186A" w:rsidP="0042101F">
      <w:pPr>
        <w:rPr>
          <w:rFonts w:ascii="Arial" w:hAnsi="Arial"/>
        </w:rPr>
      </w:pPr>
      <w:r w:rsidRPr="000E186A">
        <w:rPr>
          <w:rFonts w:ascii="Arial" w:hAnsi="Arial"/>
          <w:u w:val="single"/>
        </w:rPr>
        <w:t>Rechute</w:t>
      </w:r>
    </w:p>
    <w:p w14:paraId="4908EEB1" w14:textId="77777777" w:rsidR="000E186A" w:rsidRDefault="000E186A" w:rsidP="0042101F">
      <w:pPr>
        <w:rPr>
          <w:rFonts w:ascii="Arial" w:hAnsi="Arial"/>
        </w:rPr>
      </w:pPr>
    </w:p>
    <w:p w14:paraId="76B9E486" w14:textId="662990D2" w:rsidR="000E186A" w:rsidRDefault="000E186A" w:rsidP="0042101F">
      <w:pPr>
        <w:rPr>
          <w:rFonts w:ascii="Arial" w:hAnsi="Arial"/>
        </w:rPr>
      </w:pPr>
      <w:r>
        <w:rPr>
          <w:rFonts w:ascii="Arial" w:hAnsi="Arial"/>
        </w:rPr>
        <w:t>La rechute fait parti du processus de sevrage, et peut survenir à n’importe quel moment durant le maintien et l’abstinence. Le cas échéant, l’individu retourne à l’étape de précontemplation ou contemplation.</w:t>
      </w:r>
    </w:p>
    <w:p w14:paraId="0ED57459" w14:textId="77777777" w:rsidR="000C7028" w:rsidRDefault="000C7028" w:rsidP="0042101F">
      <w:pPr>
        <w:rPr>
          <w:rFonts w:ascii="Arial" w:hAnsi="Arial"/>
        </w:rPr>
      </w:pPr>
    </w:p>
    <w:p w14:paraId="2DDD4231" w14:textId="1BA5F55D" w:rsidR="000C7028" w:rsidRDefault="000C7028" w:rsidP="0042101F">
      <w:pPr>
        <w:rPr>
          <w:rFonts w:ascii="Arial" w:hAnsi="Arial"/>
        </w:rPr>
      </w:pPr>
      <w:r>
        <w:rPr>
          <w:rFonts w:ascii="Arial" w:hAnsi="Arial"/>
        </w:rPr>
        <w:t>Il est important de bien identifier à quelle étape se trouve votre patient afin que vous puissiez mettre en place la bonne intervention.</w:t>
      </w:r>
    </w:p>
    <w:p w14:paraId="45B1CAC2" w14:textId="77777777" w:rsidR="00672FF0" w:rsidRDefault="00672FF0" w:rsidP="0042101F">
      <w:pPr>
        <w:rPr>
          <w:rFonts w:ascii="Arial" w:hAnsi="Arial"/>
        </w:rPr>
      </w:pPr>
    </w:p>
    <w:p w14:paraId="66BB1CAE" w14:textId="77777777" w:rsidR="00727D35" w:rsidRDefault="00727D35" w:rsidP="0042101F">
      <w:pPr>
        <w:rPr>
          <w:rFonts w:ascii="Arial" w:hAnsi="Arial"/>
        </w:rPr>
      </w:pPr>
    </w:p>
    <w:p w14:paraId="3348209E" w14:textId="77777777" w:rsidR="00727D35" w:rsidRDefault="00727D35" w:rsidP="0042101F">
      <w:pPr>
        <w:rPr>
          <w:rFonts w:ascii="Arial" w:hAnsi="Arial"/>
        </w:rPr>
      </w:pPr>
    </w:p>
    <w:p w14:paraId="71182C54" w14:textId="77777777" w:rsidR="00727D35" w:rsidRDefault="00727D35" w:rsidP="0042101F">
      <w:pPr>
        <w:rPr>
          <w:rFonts w:ascii="Arial" w:hAnsi="Arial"/>
        </w:rPr>
      </w:pPr>
    </w:p>
    <w:p w14:paraId="1A5A3805" w14:textId="77777777" w:rsidR="00727D35" w:rsidRDefault="00727D35" w:rsidP="0042101F">
      <w:pPr>
        <w:rPr>
          <w:rFonts w:ascii="Arial" w:hAnsi="Arial"/>
        </w:rPr>
      </w:pPr>
    </w:p>
    <w:p w14:paraId="2D0670F6" w14:textId="77777777" w:rsidR="00516750" w:rsidRPr="00516750" w:rsidRDefault="00727D35" w:rsidP="00516750">
      <w:pPr>
        <w:pStyle w:val="EndNoteBibliography"/>
        <w:ind w:left="720" w:hanging="720"/>
        <w:rPr>
          <w:noProof/>
        </w:rPr>
      </w:pPr>
      <w:r>
        <w:rPr>
          <w:rFonts w:ascii="Arial" w:hAnsi="Arial"/>
        </w:rPr>
        <w:fldChar w:fldCharType="begin"/>
      </w:r>
      <w:r>
        <w:rPr>
          <w:rFonts w:ascii="Arial" w:hAnsi="Arial"/>
        </w:rPr>
        <w:instrText xml:space="preserve"> ADDIN EN.REFLIST </w:instrText>
      </w:r>
      <w:r>
        <w:rPr>
          <w:rFonts w:ascii="Arial" w:hAnsi="Arial"/>
        </w:rPr>
        <w:fldChar w:fldCharType="separate"/>
      </w:r>
      <w:r w:rsidR="00516750" w:rsidRPr="00516750">
        <w:rPr>
          <w:noProof/>
        </w:rPr>
        <w:t>1.</w:t>
      </w:r>
      <w:r w:rsidR="00516750" w:rsidRPr="00516750">
        <w:rPr>
          <w:noProof/>
        </w:rPr>
        <w:tab/>
        <w:t xml:space="preserve">Smith PC, Schmidt SM, Allensworth-Davies D, Saitz R. A single-question screening test for drug use in primary care. </w:t>
      </w:r>
      <w:r w:rsidR="00516750" w:rsidRPr="00516750">
        <w:rPr>
          <w:i/>
          <w:noProof/>
        </w:rPr>
        <w:t xml:space="preserve">Arch Intern Med. </w:t>
      </w:r>
      <w:r w:rsidR="00516750" w:rsidRPr="00516750">
        <w:rPr>
          <w:noProof/>
        </w:rPr>
        <w:t>2010;170(13):1155-1160.</w:t>
      </w:r>
    </w:p>
    <w:p w14:paraId="74668DE8" w14:textId="77777777" w:rsidR="00516750" w:rsidRPr="00516750" w:rsidRDefault="00516750" w:rsidP="00516750">
      <w:pPr>
        <w:pStyle w:val="EndNoteBibliography"/>
        <w:ind w:left="720" w:hanging="720"/>
        <w:rPr>
          <w:noProof/>
        </w:rPr>
      </w:pPr>
      <w:r w:rsidRPr="00516750">
        <w:rPr>
          <w:noProof/>
        </w:rPr>
        <w:t>2.</w:t>
      </w:r>
      <w:r w:rsidRPr="00516750">
        <w:rPr>
          <w:noProof/>
        </w:rPr>
        <w:tab/>
        <w:t xml:space="preserve">Prochaska JO, DiClemente CC, Norcross JC. In search of how people change. Applications to addictive behaviors. </w:t>
      </w:r>
      <w:r w:rsidRPr="00516750">
        <w:rPr>
          <w:i/>
          <w:noProof/>
        </w:rPr>
        <w:t xml:space="preserve">Am Psychol. </w:t>
      </w:r>
      <w:r w:rsidRPr="00516750">
        <w:rPr>
          <w:noProof/>
        </w:rPr>
        <w:t>1992;47(9):1102-1114.</w:t>
      </w:r>
    </w:p>
    <w:p w14:paraId="082AC503" w14:textId="049F7560" w:rsidR="00B070FF" w:rsidRPr="00B070FF" w:rsidRDefault="00727D35" w:rsidP="0042101F">
      <w:pPr>
        <w:rPr>
          <w:rFonts w:ascii="Arial" w:hAnsi="Arial"/>
        </w:rPr>
      </w:pPr>
      <w:r>
        <w:rPr>
          <w:rFonts w:ascii="Arial" w:hAnsi="Arial"/>
        </w:rPr>
        <w:fldChar w:fldCharType="end"/>
      </w:r>
    </w:p>
    <w:sectPr w:rsidR="00B070FF" w:rsidRPr="00B070FF" w:rsidSect="00ED5604">
      <w:pgSz w:w="12240" w:h="15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1D2520"/>
    <w:multiLevelType w:val="hybridMultilevel"/>
    <w:tmpl w:val="790C56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286432"/>
    <w:multiLevelType w:val="hybridMultilevel"/>
    <w:tmpl w:val="1FF2E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71465E1"/>
    <w:multiLevelType w:val="hybridMultilevel"/>
    <w:tmpl w:val="D360B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A5042E8"/>
    <w:multiLevelType w:val="hybridMultilevel"/>
    <w:tmpl w:val="067E7D1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ra50wwfae0avpezff1x000lezr9zdazsdzr&quot;&gt;My EndNote Library&lt;record-ids&gt;&lt;item&gt;61&lt;/item&gt;&lt;item&gt;62&lt;/item&gt;&lt;/record-ids&gt;&lt;/item&gt;&lt;/Libraries&gt;"/>
  </w:docVars>
  <w:rsids>
    <w:rsidRoot w:val="00357458"/>
    <w:rsid w:val="000335BF"/>
    <w:rsid w:val="00043B8F"/>
    <w:rsid w:val="00057E47"/>
    <w:rsid w:val="000B54A4"/>
    <w:rsid w:val="000C7028"/>
    <w:rsid w:val="000E186A"/>
    <w:rsid w:val="00132F8D"/>
    <w:rsid w:val="0015130D"/>
    <w:rsid w:val="001639AF"/>
    <w:rsid w:val="001662E1"/>
    <w:rsid w:val="00175360"/>
    <w:rsid w:val="001A2E2C"/>
    <w:rsid w:val="001B688D"/>
    <w:rsid w:val="001D471D"/>
    <w:rsid w:val="001D7D42"/>
    <w:rsid w:val="002747AD"/>
    <w:rsid w:val="002A57B5"/>
    <w:rsid w:val="00314AA0"/>
    <w:rsid w:val="0032603D"/>
    <w:rsid w:val="00326B42"/>
    <w:rsid w:val="00355509"/>
    <w:rsid w:val="00357458"/>
    <w:rsid w:val="003B3776"/>
    <w:rsid w:val="003B37C1"/>
    <w:rsid w:val="0042101F"/>
    <w:rsid w:val="00427AFA"/>
    <w:rsid w:val="004D2C69"/>
    <w:rsid w:val="004D4151"/>
    <w:rsid w:val="00516750"/>
    <w:rsid w:val="00555CFB"/>
    <w:rsid w:val="005704F2"/>
    <w:rsid w:val="00576D7D"/>
    <w:rsid w:val="006209E2"/>
    <w:rsid w:val="00672FF0"/>
    <w:rsid w:val="006862E9"/>
    <w:rsid w:val="006B7F8C"/>
    <w:rsid w:val="006F05F2"/>
    <w:rsid w:val="00727D35"/>
    <w:rsid w:val="007839AF"/>
    <w:rsid w:val="007F41DE"/>
    <w:rsid w:val="00823F92"/>
    <w:rsid w:val="00884549"/>
    <w:rsid w:val="008A4ED6"/>
    <w:rsid w:val="008A58E8"/>
    <w:rsid w:val="008A61EA"/>
    <w:rsid w:val="0090676F"/>
    <w:rsid w:val="00937F1D"/>
    <w:rsid w:val="00961F85"/>
    <w:rsid w:val="009930F2"/>
    <w:rsid w:val="009A0717"/>
    <w:rsid w:val="009A1A42"/>
    <w:rsid w:val="009A7898"/>
    <w:rsid w:val="009D19E2"/>
    <w:rsid w:val="00A00150"/>
    <w:rsid w:val="00A17E69"/>
    <w:rsid w:val="00A25735"/>
    <w:rsid w:val="00A90ECA"/>
    <w:rsid w:val="00B070FF"/>
    <w:rsid w:val="00B07439"/>
    <w:rsid w:val="00B23268"/>
    <w:rsid w:val="00B94E29"/>
    <w:rsid w:val="00BA14DA"/>
    <w:rsid w:val="00BB754A"/>
    <w:rsid w:val="00C20E0A"/>
    <w:rsid w:val="00D07FD4"/>
    <w:rsid w:val="00DC36AD"/>
    <w:rsid w:val="00EB67B4"/>
    <w:rsid w:val="00ED5604"/>
    <w:rsid w:val="00F3440A"/>
    <w:rsid w:val="00F4172B"/>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56AF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C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172B"/>
    <w:pPr>
      <w:ind w:left="720"/>
      <w:contextualSpacing/>
    </w:pPr>
  </w:style>
  <w:style w:type="paragraph" w:customStyle="1" w:styleId="EndNoteBibliographyTitle">
    <w:name w:val="EndNote Bibliography Title"/>
    <w:basedOn w:val="Normal"/>
    <w:rsid w:val="00727D35"/>
    <w:pPr>
      <w:jc w:val="center"/>
    </w:pPr>
    <w:rPr>
      <w:rFonts w:ascii="Cambria" w:hAnsi="Cambria"/>
      <w:lang w:val="en-US"/>
    </w:rPr>
  </w:style>
  <w:style w:type="paragraph" w:customStyle="1" w:styleId="EndNoteBibliography">
    <w:name w:val="EndNote Bibliography"/>
    <w:basedOn w:val="Normal"/>
    <w:rsid w:val="00727D35"/>
    <w:rPr>
      <w:rFonts w:ascii="Cambria" w:hAnsi="Cambria"/>
      <w:lang w:val="en-US"/>
    </w:rPr>
  </w:style>
  <w:style w:type="paragraph" w:styleId="BalloonText">
    <w:name w:val="Balloon Text"/>
    <w:basedOn w:val="Normal"/>
    <w:link w:val="BalloonTextChar"/>
    <w:uiPriority w:val="99"/>
    <w:semiHidden/>
    <w:unhideWhenUsed/>
    <w:rsid w:val="003B37C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B37C1"/>
    <w:rPr>
      <w:rFonts w:ascii="Lucida Grande" w:hAnsi="Lucida Grande" w:cs="Lucida Grande"/>
      <w:sz w:val="18"/>
      <w:szCs w:val="18"/>
      <w:lang w:val="fr-CA"/>
    </w:rPr>
  </w:style>
  <w:style w:type="table" w:styleId="TableGrid">
    <w:name w:val="Table Grid"/>
    <w:basedOn w:val="TableNormal"/>
    <w:uiPriority w:val="59"/>
    <w:rsid w:val="00427A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C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172B"/>
    <w:pPr>
      <w:ind w:left="720"/>
      <w:contextualSpacing/>
    </w:pPr>
  </w:style>
  <w:style w:type="paragraph" w:customStyle="1" w:styleId="EndNoteBibliographyTitle">
    <w:name w:val="EndNote Bibliography Title"/>
    <w:basedOn w:val="Normal"/>
    <w:rsid w:val="00727D35"/>
    <w:pPr>
      <w:jc w:val="center"/>
    </w:pPr>
    <w:rPr>
      <w:rFonts w:ascii="Cambria" w:hAnsi="Cambria"/>
      <w:lang w:val="en-US"/>
    </w:rPr>
  </w:style>
  <w:style w:type="paragraph" w:customStyle="1" w:styleId="EndNoteBibliography">
    <w:name w:val="EndNote Bibliography"/>
    <w:basedOn w:val="Normal"/>
    <w:rsid w:val="00727D35"/>
    <w:rPr>
      <w:rFonts w:ascii="Cambria" w:hAnsi="Cambria"/>
      <w:lang w:val="en-US"/>
    </w:rPr>
  </w:style>
  <w:style w:type="paragraph" w:styleId="BalloonText">
    <w:name w:val="Balloon Text"/>
    <w:basedOn w:val="Normal"/>
    <w:link w:val="BalloonTextChar"/>
    <w:uiPriority w:val="99"/>
    <w:semiHidden/>
    <w:unhideWhenUsed/>
    <w:rsid w:val="003B37C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B37C1"/>
    <w:rPr>
      <w:rFonts w:ascii="Lucida Grande" w:hAnsi="Lucida Grande" w:cs="Lucida Grande"/>
      <w:sz w:val="18"/>
      <w:szCs w:val="18"/>
      <w:lang w:val="fr-CA"/>
    </w:rPr>
  </w:style>
  <w:style w:type="table" w:styleId="TableGrid">
    <w:name w:val="Table Grid"/>
    <w:basedOn w:val="TableNormal"/>
    <w:uiPriority w:val="59"/>
    <w:rsid w:val="00427A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diagramData" Target="diagrams/data1.xml"/><Relationship Id="rId7" Type="http://schemas.openxmlformats.org/officeDocument/2006/relationships/diagramLayout" Target="diagrams/layout1.xml"/><Relationship Id="rId8" Type="http://schemas.openxmlformats.org/officeDocument/2006/relationships/diagramQuickStyle" Target="diagrams/quickStyle1.xml"/><Relationship Id="rId9" Type="http://schemas.openxmlformats.org/officeDocument/2006/relationships/diagramColors" Target="diagrams/colors1.xml"/><Relationship Id="rId10"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E9967D0-702F-CF48-B4E8-253099E5478C}" type="doc">
      <dgm:prSet loTypeId="urn:microsoft.com/office/officeart/2005/8/layout/process2" loCatId="" qsTypeId="urn:microsoft.com/office/officeart/2005/8/quickstyle/simple4" qsCatId="simple" csTypeId="urn:microsoft.com/office/officeart/2005/8/colors/accent1_2" csCatId="accent1" phldr="1"/>
      <dgm:spPr/>
    </dgm:pt>
    <dgm:pt modelId="{5DF40CDF-7D2B-AF46-90B0-E50BD211EAB0}">
      <dgm:prSet phldrT="[Text]"/>
      <dgm:spPr/>
      <dgm:t>
        <a:bodyPr/>
        <a:lstStyle/>
        <a:p>
          <a:r>
            <a:rPr lang="en-US"/>
            <a:t>Précontemplation</a:t>
          </a:r>
        </a:p>
      </dgm:t>
    </dgm:pt>
    <dgm:pt modelId="{8A3628EF-CC0F-154C-800E-0FF1A69CD98E}" type="parTrans" cxnId="{807331F2-588A-5144-8A77-5B36D21F4BF2}">
      <dgm:prSet/>
      <dgm:spPr/>
      <dgm:t>
        <a:bodyPr/>
        <a:lstStyle/>
        <a:p>
          <a:endParaRPr lang="en-US"/>
        </a:p>
      </dgm:t>
    </dgm:pt>
    <dgm:pt modelId="{012A4A5D-DA35-494C-BCDB-5814039B2134}" type="sibTrans" cxnId="{807331F2-588A-5144-8A77-5B36D21F4BF2}">
      <dgm:prSet/>
      <dgm:spPr/>
      <dgm:t>
        <a:bodyPr/>
        <a:lstStyle/>
        <a:p>
          <a:endParaRPr lang="en-US"/>
        </a:p>
      </dgm:t>
    </dgm:pt>
    <dgm:pt modelId="{6044F2CC-6DC1-744F-85CF-6AF75BA4E7A5}">
      <dgm:prSet phldrT="[Text]"/>
      <dgm:spPr/>
      <dgm:t>
        <a:bodyPr/>
        <a:lstStyle/>
        <a:p>
          <a:r>
            <a:rPr lang="en-US"/>
            <a:t>Contemplation</a:t>
          </a:r>
        </a:p>
      </dgm:t>
    </dgm:pt>
    <dgm:pt modelId="{12C3F8C0-A3EF-5C44-ABB8-061464409A03}" type="parTrans" cxnId="{4DF4E71B-7007-8D47-862E-23FCFF041221}">
      <dgm:prSet/>
      <dgm:spPr/>
      <dgm:t>
        <a:bodyPr/>
        <a:lstStyle/>
        <a:p>
          <a:endParaRPr lang="en-US"/>
        </a:p>
      </dgm:t>
    </dgm:pt>
    <dgm:pt modelId="{8A11DDE9-77E8-124C-82ED-5BF966F15FD2}" type="sibTrans" cxnId="{4DF4E71B-7007-8D47-862E-23FCFF041221}">
      <dgm:prSet/>
      <dgm:spPr/>
      <dgm:t>
        <a:bodyPr/>
        <a:lstStyle/>
        <a:p>
          <a:endParaRPr lang="en-US"/>
        </a:p>
      </dgm:t>
    </dgm:pt>
    <dgm:pt modelId="{F46E2D6F-BB2A-1548-B361-57E40CF8E40F}">
      <dgm:prSet phldrT="[Text]"/>
      <dgm:spPr/>
      <dgm:t>
        <a:bodyPr/>
        <a:lstStyle/>
        <a:p>
          <a:r>
            <a:rPr lang="en-US"/>
            <a:t>Détermination/action</a:t>
          </a:r>
        </a:p>
      </dgm:t>
    </dgm:pt>
    <dgm:pt modelId="{09A933BD-1310-FA46-A084-4D1AD4572CE2}" type="parTrans" cxnId="{EE77131D-433F-4A43-9CA2-5A68971E36AA}">
      <dgm:prSet/>
      <dgm:spPr/>
      <dgm:t>
        <a:bodyPr/>
        <a:lstStyle/>
        <a:p>
          <a:endParaRPr lang="en-US"/>
        </a:p>
      </dgm:t>
    </dgm:pt>
    <dgm:pt modelId="{A5906685-41EA-6449-976B-3A780C530316}" type="sibTrans" cxnId="{EE77131D-433F-4A43-9CA2-5A68971E36AA}">
      <dgm:prSet/>
      <dgm:spPr/>
      <dgm:t>
        <a:bodyPr/>
        <a:lstStyle/>
        <a:p>
          <a:endParaRPr lang="en-US"/>
        </a:p>
      </dgm:t>
    </dgm:pt>
    <dgm:pt modelId="{8BF018EC-37E4-A54D-B42F-A921640637CC}">
      <dgm:prSet/>
      <dgm:spPr/>
      <dgm:t>
        <a:bodyPr/>
        <a:lstStyle/>
        <a:p>
          <a:r>
            <a:rPr lang="en-US"/>
            <a:t>Maintien</a:t>
          </a:r>
        </a:p>
      </dgm:t>
    </dgm:pt>
    <dgm:pt modelId="{86B7C8ED-5854-1645-93FF-DF5885CC8676}" type="parTrans" cxnId="{B425835C-61B7-5940-8864-CCA4AD78B597}">
      <dgm:prSet/>
      <dgm:spPr/>
      <dgm:t>
        <a:bodyPr/>
        <a:lstStyle/>
        <a:p>
          <a:endParaRPr lang="en-US"/>
        </a:p>
      </dgm:t>
    </dgm:pt>
    <dgm:pt modelId="{8B187B54-B1E1-7E42-844F-429546FB9CDE}" type="sibTrans" cxnId="{B425835C-61B7-5940-8864-CCA4AD78B597}">
      <dgm:prSet/>
      <dgm:spPr/>
      <dgm:t>
        <a:bodyPr/>
        <a:lstStyle/>
        <a:p>
          <a:endParaRPr lang="en-US"/>
        </a:p>
      </dgm:t>
    </dgm:pt>
    <dgm:pt modelId="{A8D49B0B-E9BD-2A48-920C-37812BDBE5B7}">
      <dgm:prSet/>
      <dgm:spPr/>
      <dgm:t>
        <a:bodyPr/>
        <a:lstStyle/>
        <a:p>
          <a:r>
            <a:rPr lang="en-US"/>
            <a:t>Abstinence</a:t>
          </a:r>
        </a:p>
      </dgm:t>
    </dgm:pt>
    <dgm:pt modelId="{A30F2BF4-CFB7-814C-BFB7-0F5DA58DFAAF}" type="parTrans" cxnId="{761A7A85-EECF-4242-8E1D-4A968072BF62}">
      <dgm:prSet/>
      <dgm:spPr/>
      <dgm:t>
        <a:bodyPr/>
        <a:lstStyle/>
        <a:p>
          <a:endParaRPr lang="en-US"/>
        </a:p>
      </dgm:t>
    </dgm:pt>
    <dgm:pt modelId="{F48BB2E9-B97A-994C-8FC6-96AF65ECD6C5}" type="sibTrans" cxnId="{761A7A85-EECF-4242-8E1D-4A968072BF62}">
      <dgm:prSet/>
      <dgm:spPr/>
      <dgm:t>
        <a:bodyPr/>
        <a:lstStyle/>
        <a:p>
          <a:endParaRPr lang="en-US"/>
        </a:p>
      </dgm:t>
    </dgm:pt>
    <dgm:pt modelId="{09CF093A-3611-AA44-9607-B2AB92000E79}" type="pres">
      <dgm:prSet presAssocID="{FE9967D0-702F-CF48-B4E8-253099E5478C}" presName="linearFlow" presStyleCnt="0">
        <dgm:presLayoutVars>
          <dgm:resizeHandles val="exact"/>
        </dgm:presLayoutVars>
      </dgm:prSet>
      <dgm:spPr/>
    </dgm:pt>
    <dgm:pt modelId="{A4675BD1-6999-A640-B53D-6C9E1645FAF0}" type="pres">
      <dgm:prSet presAssocID="{5DF40CDF-7D2B-AF46-90B0-E50BD211EAB0}" presName="node" presStyleLbl="node1" presStyleIdx="0" presStyleCnt="5">
        <dgm:presLayoutVars>
          <dgm:bulletEnabled val="1"/>
        </dgm:presLayoutVars>
      </dgm:prSet>
      <dgm:spPr/>
      <dgm:t>
        <a:bodyPr/>
        <a:lstStyle/>
        <a:p>
          <a:endParaRPr lang="en-US"/>
        </a:p>
      </dgm:t>
    </dgm:pt>
    <dgm:pt modelId="{ECA1C374-896C-B448-B3F4-6B6849AC227F}" type="pres">
      <dgm:prSet presAssocID="{012A4A5D-DA35-494C-BCDB-5814039B2134}" presName="sibTrans" presStyleLbl="sibTrans2D1" presStyleIdx="0" presStyleCnt="4"/>
      <dgm:spPr/>
      <dgm:t>
        <a:bodyPr/>
        <a:lstStyle/>
        <a:p>
          <a:endParaRPr lang="en-US"/>
        </a:p>
      </dgm:t>
    </dgm:pt>
    <dgm:pt modelId="{E0711756-150D-9A44-8645-5AFE95F1F82F}" type="pres">
      <dgm:prSet presAssocID="{012A4A5D-DA35-494C-BCDB-5814039B2134}" presName="connectorText" presStyleLbl="sibTrans2D1" presStyleIdx="0" presStyleCnt="4"/>
      <dgm:spPr/>
      <dgm:t>
        <a:bodyPr/>
        <a:lstStyle/>
        <a:p>
          <a:endParaRPr lang="en-US"/>
        </a:p>
      </dgm:t>
    </dgm:pt>
    <dgm:pt modelId="{6BC19AF9-8D5F-6849-AA49-FE6296DF7AF3}" type="pres">
      <dgm:prSet presAssocID="{6044F2CC-6DC1-744F-85CF-6AF75BA4E7A5}" presName="node" presStyleLbl="node1" presStyleIdx="1" presStyleCnt="5">
        <dgm:presLayoutVars>
          <dgm:bulletEnabled val="1"/>
        </dgm:presLayoutVars>
      </dgm:prSet>
      <dgm:spPr/>
      <dgm:t>
        <a:bodyPr/>
        <a:lstStyle/>
        <a:p>
          <a:endParaRPr lang="en-US"/>
        </a:p>
      </dgm:t>
    </dgm:pt>
    <dgm:pt modelId="{F6AA3FFF-0FF2-364A-BB98-B3A5A429BA69}" type="pres">
      <dgm:prSet presAssocID="{8A11DDE9-77E8-124C-82ED-5BF966F15FD2}" presName="sibTrans" presStyleLbl="sibTrans2D1" presStyleIdx="1" presStyleCnt="4"/>
      <dgm:spPr/>
      <dgm:t>
        <a:bodyPr/>
        <a:lstStyle/>
        <a:p>
          <a:endParaRPr lang="en-US"/>
        </a:p>
      </dgm:t>
    </dgm:pt>
    <dgm:pt modelId="{D6F7E06E-D3E8-9B42-8A40-5AD3B7277582}" type="pres">
      <dgm:prSet presAssocID="{8A11DDE9-77E8-124C-82ED-5BF966F15FD2}" presName="connectorText" presStyleLbl="sibTrans2D1" presStyleIdx="1" presStyleCnt="4"/>
      <dgm:spPr/>
      <dgm:t>
        <a:bodyPr/>
        <a:lstStyle/>
        <a:p>
          <a:endParaRPr lang="en-US"/>
        </a:p>
      </dgm:t>
    </dgm:pt>
    <dgm:pt modelId="{3705B5B1-CC68-C845-BEF0-7D2440EACC6D}" type="pres">
      <dgm:prSet presAssocID="{F46E2D6F-BB2A-1548-B361-57E40CF8E40F}" presName="node" presStyleLbl="node1" presStyleIdx="2" presStyleCnt="5">
        <dgm:presLayoutVars>
          <dgm:bulletEnabled val="1"/>
        </dgm:presLayoutVars>
      </dgm:prSet>
      <dgm:spPr/>
      <dgm:t>
        <a:bodyPr/>
        <a:lstStyle/>
        <a:p>
          <a:endParaRPr lang="en-US"/>
        </a:p>
      </dgm:t>
    </dgm:pt>
    <dgm:pt modelId="{1FEB275E-29A6-124C-B06D-13DA5A3840BB}" type="pres">
      <dgm:prSet presAssocID="{A5906685-41EA-6449-976B-3A780C530316}" presName="sibTrans" presStyleLbl="sibTrans2D1" presStyleIdx="2" presStyleCnt="4"/>
      <dgm:spPr/>
      <dgm:t>
        <a:bodyPr/>
        <a:lstStyle/>
        <a:p>
          <a:endParaRPr lang="en-US"/>
        </a:p>
      </dgm:t>
    </dgm:pt>
    <dgm:pt modelId="{8BB8F26F-CAAB-CD4B-95B0-C07F8C24D413}" type="pres">
      <dgm:prSet presAssocID="{A5906685-41EA-6449-976B-3A780C530316}" presName="connectorText" presStyleLbl="sibTrans2D1" presStyleIdx="2" presStyleCnt="4"/>
      <dgm:spPr/>
      <dgm:t>
        <a:bodyPr/>
        <a:lstStyle/>
        <a:p>
          <a:endParaRPr lang="en-US"/>
        </a:p>
      </dgm:t>
    </dgm:pt>
    <dgm:pt modelId="{4F2DD939-7AB0-D049-9D80-958F983B5D21}" type="pres">
      <dgm:prSet presAssocID="{8BF018EC-37E4-A54D-B42F-A921640637CC}" presName="node" presStyleLbl="node1" presStyleIdx="3" presStyleCnt="5">
        <dgm:presLayoutVars>
          <dgm:bulletEnabled val="1"/>
        </dgm:presLayoutVars>
      </dgm:prSet>
      <dgm:spPr/>
      <dgm:t>
        <a:bodyPr/>
        <a:lstStyle/>
        <a:p>
          <a:endParaRPr lang="en-US"/>
        </a:p>
      </dgm:t>
    </dgm:pt>
    <dgm:pt modelId="{88BF8CDC-B9AA-C342-96B8-0F75F90CC1D4}" type="pres">
      <dgm:prSet presAssocID="{8B187B54-B1E1-7E42-844F-429546FB9CDE}" presName="sibTrans" presStyleLbl="sibTrans2D1" presStyleIdx="3" presStyleCnt="4"/>
      <dgm:spPr/>
      <dgm:t>
        <a:bodyPr/>
        <a:lstStyle/>
        <a:p>
          <a:endParaRPr lang="en-US"/>
        </a:p>
      </dgm:t>
    </dgm:pt>
    <dgm:pt modelId="{EB7E97E5-A732-6D4F-A4B5-1FD713A15FC8}" type="pres">
      <dgm:prSet presAssocID="{8B187B54-B1E1-7E42-844F-429546FB9CDE}" presName="connectorText" presStyleLbl="sibTrans2D1" presStyleIdx="3" presStyleCnt="4"/>
      <dgm:spPr/>
      <dgm:t>
        <a:bodyPr/>
        <a:lstStyle/>
        <a:p>
          <a:endParaRPr lang="en-US"/>
        </a:p>
      </dgm:t>
    </dgm:pt>
    <dgm:pt modelId="{B6154049-1AD8-584D-BC2C-16E3B0105577}" type="pres">
      <dgm:prSet presAssocID="{A8D49B0B-E9BD-2A48-920C-37812BDBE5B7}" presName="node" presStyleLbl="node1" presStyleIdx="4" presStyleCnt="5">
        <dgm:presLayoutVars>
          <dgm:bulletEnabled val="1"/>
        </dgm:presLayoutVars>
      </dgm:prSet>
      <dgm:spPr/>
      <dgm:t>
        <a:bodyPr/>
        <a:lstStyle/>
        <a:p>
          <a:endParaRPr lang="en-US"/>
        </a:p>
      </dgm:t>
    </dgm:pt>
  </dgm:ptLst>
  <dgm:cxnLst>
    <dgm:cxn modelId="{B425835C-61B7-5940-8864-CCA4AD78B597}" srcId="{FE9967D0-702F-CF48-B4E8-253099E5478C}" destId="{8BF018EC-37E4-A54D-B42F-A921640637CC}" srcOrd="3" destOrd="0" parTransId="{86B7C8ED-5854-1645-93FF-DF5885CC8676}" sibTransId="{8B187B54-B1E1-7E42-844F-429546FB9CDE}"/>
    <dgm:cxn modelId="{BFBDFFD0-02C6-854E-95CE-797A9CBD1128}" type="presOf" srcId="{8BF018EC-37E4-A54D-B42F-A921640637CC}" destId="{4F2DD939-7AB0-D049-9D80-958F983B5D21}" srcOrd="0" destOrd="0" presId="urn:microsoft.com/office/officeart/2005/8/layout/process2"/>
    <dgm:cxn modelId="{3ED7332B-6F6C-504A-AD94-8696E6EED3A1}" type="presOf" srcId="{A5906685-41EA-6449-976B-3A780C530316}" destId="{1FEB275E-29A6-124C-B06D-13DA5A3840BB}" srcOrd="0" destOrd="0" presId="urn:microsoft.com/office/officeart/2005/8/layout/process2"/>
    <dgm:cxn modelId="{807331F2-588A-5144-8A77-5B36D21F4BF2}" srcId="{FE9967D0-702F-CF48-B4E8-253099E5478C}" destId="{5DF40CDF-7D2B-AF46-90B0-E50BD211EAB0}" srcOrd="0" destOrd="0" parTransId="{8A3628EF-CC0F-154C-800E-0FF1A69CD98E}" sibTransId="{012A4A5D-DA35-494C-BCDB-5814039B2134}"/>
    <dgm:cxn modelId="{4DF4E71B-7007-8D47-862E-23FCFF041221}" srcId="{FE9967D0-702F-CF48-B4E8-253099E5478C}" destId="{6044F2CC-6DC1-744F-85CF-6AF75BA4E7A5}" srcOrd="1" destOrd="0" parTransId="{12C3F8C0-A3EF-5C44-ABB8-061464409A03}" sibTransId="{8A11DDE9-77E8-124C-82ED-5BF966F15FD2}"/>
    <dgm:cxn modelId="{DDC997A2-D659-9947-A6B3-75CAA993FF8C}" type="presOf" srcId="{5DF40CDF-7D2B-AF46-90B0-E50BD211EAB0}" destId="{A4675BD1-6999-A640-B53D-6C9E1645FAF0}" srcOrd="0" destOrd="0" presId="urn:microsoft.com/office/officeart/2005/8/layout/process2"/>
    <dgm:cxn modelId="{ADF3C0D0-F9B0-0945-8DE3-DFC4BCDF4A52}" type="presOf" srcId="{A5906685-41EA-6449-976B-3A780C530316}" destId="{8BB8F26F-CAAB-CD4B-95B0-C07F8C24D413}" srcOrd="1" destOrd="0" presId="urn:microsoft.com/office/officeart/2005/8/layout/process2"/>
    <dgm:cxn modelId="{C9E22697-E3C3-DF4D-B01E-07F72E4ED26F}" type="presOf" srcId="{8A11DDE9-77E8-124C-82ED-5BF966F15FD2}" destId="{F6AA3FFF-0FF2-364A-BB98-B3A5A429BA69}" srcOrd="0" destOrd="0" presId="urn:microsoft.com/office/officeart/2005/8/layout/process2"/>
    <dgm:cxn modelId="{C276C116-1965-5041-B33B-986B786B3695}" type="presOf" srcId="{8A11DDE9-77E8-124C-82ED-5BF966F15FD2}" destId="{D6F7E06E-D3E8-9B42-8A40-5AD3B7277582}" srcOrd="1" destOrd="0" presId="urn:microsoft.com/office/officeart/2005/8/layout/process2"/>
    <dgm:cxn modelId="{C0299087-0476-D649-A9F7-5540109C9135}" type="presOf" srcId="{FE9967D0-702F-CF48-B4E8-253099E5478C}" destId="{09CF093A-3611-AA44-9607-B2AB92000E79}" srcOrd="0" destOrd="0" presId="urn:microsoft.com/office/officeart/2005/8/layout/process2"/>
    <dgm:cxn modelId="{EE77131D-433F-4A43-9CA2-5A68971E36AA}" srcId="{FE9967D0-702F-CF48-B4E8-253099E5478C}" destId="{F46E2D6F-BB2A-1548-B361-57E40CF8E40F}" srcOrd="2" destOrd="0" parTransId="{09A933BD-1310-FA46-A084-4D1AD4572CE2}" sibTransId="{A5906685-41EA-6449-976B-3A780C530316}"/>
    <dgm:cxn modelId="{30F5CBB3-4CC2-5E4A-B52F-7E241C6189B7}" type="presOf" srcId="{A8D49B0B-E9BD-2A48-920C-37812BDBE5B7}" destId="{B6154049-1AD8-584D-BC2C-16E3B0105577}" srcOrd="0" destOrd="0" presId="urn:microsoft.com/office/officeart/2005/8/layout/process2"/>
    <dgm:cxn modelId="{899B84FB-3D1C-3B44-899E-49B5FB71FA9C}" type="presOf" srcId="{8B187B54-B1E1-7E42-844F-429546FB9CDE}" destId="{88BF8CDC-B9AA-C342-96B8-0F75F90CC1D4}" srcOrd="0" destOrd="0" presId="urn:microsoft.com/office/officeart/2005/8/layout/process2"/>
    <dgm:cxn modelId="{A49BBF75-EACD-6843-8995-432E2D02FB64}" type="presOf" srcId="{8B187B54-B1E1-7E42-844F-429546FB9CDE}" destId="{EB7E97E5-A732-6D4F-A4B5-1FD713A15FC8}" srcOrd="1" destOrd="0" presId="urn:microsoft.com/office/officeart/2005/8/layout/process2"/>
    <dgm:cxn modelId="{62B89C8B-D27B-EA4B-8ADA-8267EDCFE63A}" type="presOf" srcId="{F46E2D6F-BB2A-1548-B361-57E40CF8E40F}" destId="{3705B5B1-CC68-C845-BEF0-7D2440EACC6D}" srcOrd="0" destOrd="0" presId="urn:microsoft.com/office/officeart/2005/8/layout/process2"/>
    <dgm:cxn modelId="{0CBDFDE3-5FFB-2149-914A-6342EEE73774}" type="presOf" srcId="{6044F2CC-6DC1-744F-85CF-6AF75BA4E7A5}" destId="{6BC19AF9-8D5F-6849-AA49-FE6296DF7AF3}" srcOrd="0" destOrd="0" presId="urn:microsoft.com/office/officeart/2005/8/layout/process2"/>
    <dgm:cxn modelId="{04352843-F47D-B343-8DE3-7E9EEE75A3A2}" type="presOf" srcId="{012A4A5D-DA35-494C-BCDB-5814039B2134}" destId="{ECA1C374-896C-B448-B3F4-6B6849AC227F}" srcOrd="0" destOrd="0" presId="urn:microsoft.com/office/officeart/2005/8/layout/process2"/>
    <dgm:cxn modelId="{761A7A85-EECF-4242-8E1D-4A968072BF62}" srcId="{FE9967D0-702F-CF48-B4E8-253099E5478C}" destId="{A8D49B0B-E9BD-2A48-920C-37812BDBE5B7}" srcOrd="4" destOrd="0" parTransId="{A30F2BF4-CFB7-814C-BFB7-0F5DA58DFAAF}" sibTransId="{F48BB2E9-B97A-994C-8FC6-96AF65ECD6C5}"/>
    <dgm:cxn modelId="{F3BC7BBC-35B6-044C-A14C-A5493AD61E68}" type="presOf" srcId="{012A4A5D-DA35-494C-BCDB-5814039B2134}" destId="{E0711756-150D-9A44-8645-5AFE95F1F82F}" srcOrd="1" destOrd="0" presId="urn:microsoft.com/office/officeart/2005/8/layout/process2"/>
    <dgm:cxn modelId="{C72B8E8D-43E2-BD44-AC06-492B329E551C}" type="presParOf" srcId="{09CF093A-3611-AA44-9607-B2AB92000E79}" destId="{A4675BD1-6999-A640-B53D-6C9E1645FAF0}" srcOrd="0" destOrd="0" presId="urn:microsoft.com/office/officeart/2005/8/layout/process2"/>
    <dgm:cxn modelId="{C6B07301-E2F8-284A-B242-97535839C62D}" type="presParOf" srcId="{09CF093A-3611-AA44-9607-B2AB92000E79}" destId="{ECA1C374-896C-B448-B3F4-6B6849AC227F}" srcOrd="1" destOrd="0" presId="urn:microsoft.com/office/officeart/2005/8/layout/process2"/>
    <dgm:cxn modelId="{4A51901B-1828-E24B-A90C-922A256A7A28}" type="presParOf" srcId="{ECA1C374-896C-B448-B3F4-6B6849AC227F}" destId="{E0711756-150D-9A44-8645-5AFE95F1F82F}" srcOrd="0" destOrd="0" presId="urn:microsoft.com/office/officeart/2005/8/layout/process2"/>
    <dgm:cxn modelId="{4F957989-D71A-DB4F-8788-AF07B4D4613F}" type="presParOf" srcId="{09CF093A-3611-AA44-9607-B2AB92000E79}" destId="{6BC19AF9-8D5F-6849-AA49-FE6296DF7AF3}" srcOrd="2" destOrd="0" presId="urn:microsoft.com/office/officeart/2005/8/layout/process2"/>
    <dgm:cxn modelId="{C7191990-1E02-4041-A253-204A7344D100}" type="presParOf" srcId="{09CF093A-3611-AA44-9607-B2AB92000E79}" destId="{F6AA3FFF-0FF2-364A-BB98-B3A5A429BA69}" srcOrd="3" destOrd="0" presId="urn:microsoft.com/office/officeart/2005/8/layout/process2"/>
    <dgm:cxn modelId="{713B84A9-A331-A24A-81A2-476DAE3664C1}" type="presParOf" srcId="{F6AA3FFF-0FF2-364A-BB98-B3A5A429BA69}" destId="{D6F7E06E-D3E8-9B42-8A40-5AD3B7277582}" srcOrd="0" destOrd="0" presId="urn:microsoft.com/office/officeart/2005/8/layout/process2"/>
    <dgm:cxn modelId="{517A90A2-7C41-C441-8C1B-5CDAA11480F4}" type="presParOf" srcId="{09CF093A-3611-AA44-9607-B2AB92000E79}" destId="{3705B5B1-CC68-C845-BEF0-7D2440EACC6D}" srcOrd="4" destOrd="0" presId="urn:microsoft.com/office/officeart/2005/8/layout/process2"/>
    <dgm:cxn modelId="{16EC90E7-58A8-D04A-B2B7-1DF07885032C}" type="presParOf" srcId="{09CF093A-3611-AA44-9607-B2AB92000E79}" destId="{1FEB275E-29A6-124C-B06D-13DA5A3840BB}" srcOrd="5" destOrd="0" presId="urn:microsoft.com/office/officeart/2005/8/layout/process2"/>
    <dgm:cxn modelId="{9840937C-F721-5745-BDEB-85EB258A5CBE}" type="presParOf" srcId="{1FEB275E-29A6-124C-B06D-13DA5A3840BB}" destId="{8BB8F26F-CAAB-CD4B-95B0-C07F8C24D413}" srcOrd="0" destOrd="0" presId="urn:microsoft.com/office/officeart/2005/8/layout/process2"/>
    <dgm:cxn modelId="{C45C60D5-69A6-F746-9FA5-9CD8637FE64A}" type="presParOf" srcId="{09CF093A-3611-AA44-9607-B2AB92000E79}" destId="{4F2DD939-7AB0-D049-9D80-958F983B5D21}" srcOrd="6" destOrd="0" presId="urn:microsoft.com/office/officeart/2005/8/layout/process2"/>
    <dgm:cxn modelId="{A32559C0-15CB-B84B-832F-136A17023AEE}" type="presParOf" srcId="{09CF093A-3611-AA44-9607-B2AB92000E79}" destId="{88BF8CDC-B9AA-C342-96B8-0F75F90CC1D4}" srcOrd="7" destOrd="0" presId="urn:microsoft.com/office/officeart/2005/8/layout/process2"/>
    <dgm:cxn modelId="{B7B56C5E-03FA-E047-AE70-70D1910FBD42}" type="presParOf" srcId="{88BF8CDC-B9AA-C342-96B8-0F75F90CC1D4}" destId="{EB7E97E5-A732-6D4F-A4B5-1FD713A15FC8}" srcOrd="0" destOrd="0" presId="urn:microsoft.com/office/officeart/2005/8/layout/process2"/>
    <dgm:cxn modelId="{4FFC1DD4-0DD1-1942-97F5-C0E2460FCEC9}" type="presParOf" srcId="{09CF093A-3611-AA44-9607-B2AB92000E79}" destId="{B6154049-1AD8-584D-BC2C-16E3B0105577}" srcOrd="8" destOrd="0" presId="urn:microsoft.com/office/officeart/2005/8/layout/process2"/>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4675BD1-6999-A640-B53D-6C9E1645FAF0}">
      <dsp:nvSpPr>
        <dsp:cNvPr id="0" name=""/>
        <dsp:cNvSpPr/>
      </dsp:nvSpPr>
      <dsp:spPr>
        <a:xfrm>
          <a:off x="469613" y="390"/>
          <a:ext cx="1798892" cy="457088"/>
        </a:xfrm>
        <a:prstGeom prst="roundRect">
          <a:avLst>
            <a:gd name="adj" fmla="val 10000"/>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Précontemplation</a:t>
          </a:r>
        </a:p>
      </dsp:txBody>
      <dsp:txXfrm>
        <a:off x="483001" y="13778"/>
        <a:ext cx="1772116" cy="430312"/>
      </dsp:txXfrm>
    </dsp:sp>
    <dsp:sp modelId="{ECA1C374-896C-B448-B3F4-6B6849AC227F}">
      <dsp:nvSpPr>
        <dsp:cNvPr id="0" name=""/>
        <dsp:cNvSpPr/>
      </dsp:nvSpPr>
      <dsp:spPr>
        <a:xfrm rot="5400000">
          <a:off x="1283355" y="468906"/>
          <a:ext cx="171408" cy="205689"/>
        </a:xfrm>
        <a:prstGeom prst="rightArrow">
          <a:avLst>
            <a:gd name="adj1" fmla="val 60000"/>
            <a:gd name="adj2" fmla="val 50000"/>
          </a:avLst>
        </a:prstGeom>
        <a:gradFill rotWithShape="0">
          <a:gsLst>
            <a:gs pos="0">
              <a:schemeClr val="accent1">
                <a:tint val="60000"/>
                <a:hueOff val="0"/>
                <a:satOff val="0"/>
                <a:lumOff val="0"/>
                <a:alphaOff val="0"/>
                <a:tint val="100000"/>
                <a:shade val="100000"/>
                <a:satMod val="130000"/>
              </a:schemeClr>
            </a:gs>
            <a:gs pos="100000">
              <a:schemeClr val="accent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rot="-5400000">
        <a:off x="1307353" y="486046"/>
        <a:ext cx="123413" cy="119986"/>
      </dsp:txXfrm>
    </dsp:sp>
    <dsp:sp modelId="{6BC19AF9-8D5F-6849-AA49-FE6296DF7AF3}">
      <dsp:nvSpPr>
        <dsp:cNvPr id="0" name=""/>
        <dsp:cNvSpPr/>
      </dsp:nvSpPr>
      <dsp:spPr>
        <a:xfrm>
          <a:off x="469613" y="686023"/>
          <a:ext cx="1798892" cy="457088"/>
        </a:xfrm>
        <a:prstGeom prst="roundRect">
          <a:avLst>
            <a:gd name="adj" fmla="val 10000"/>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Contemplation</a:t>
          </a:r>
        </a:p>
      </dsp:txBody>
      <dsp:txXfrm>
        <a:off x="483001" y="699411"/>
        <a:ext cx="1772116" cy="430312"/>
      </dsp:txXfrm>
    </dsp:sp>
    <dsp:sp modelId="{F6AA3FFF-0FF2-364A-BB98-B3A5A429BA69}">
      <dsp:nvSpPr>
        <dsp:cNvPr id="0" name=""/>
        <dsp:cNvSpPr/>
      </dsp:nvSpPr>
      <dsp:spPr>
        <a:xfrm rot="5400000">
          <a:off x="1283355" y="1154538"/>
          <a:ext cx="171408" cy="205689"/>
        </a:xfrm>
        <a:prstGeom prst="rightArrow">
          <a:avLst>
            <a:gd name="adj1" fmla="val 60000"/>
            <a:gd name="adj2" fmla="val 50000"/>
          </a:avLst>
        </a:prstGeom>
        <a:gradFill rotWithShape="0">
          <a:gsLst>
            <a:gs pos="0">
              <a:schemeClr val="accent1">
                <a:tint val="60000"/>
                <a:hueOff val="0"/>
                <a:satOff val="0"/>
                <a:lumOff val="0"/>
                <a:alphaOff val="0"/>
                <a:tint val="100000"/>
                <a:shade val="100000"/>
                <a:satMod val="130000"/>
              </a:schemeClr>
            </a:gs>
            <a:gs pos="100000">
              <a:schemeClr val="accent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rot="-5400000">
        <a:off x="1307353" y="1171678"/>
        <a:ext cx="123413" cy="119986"/>
      </dsp:txXfrm>
    </dsp:sp>
    <dsp:sp modelId="{3705B5B1-CC68-C845-BEF0-7D2440EACC6D}">
      <dsp:nvSpPr>
        <dsp:cNvPr id="0" name=""/>
        <dsp:cNvSpPr/>
      </dsp:nvSpPr>
      <dsp:spPr>
        <a:xfrm>
          <a:off x="469613" y="1371655"/>
          <a:ext cx="1798892" cy="457088"/>
        </a:xfrm>
        <a:prstGeom prst="roundRect">
          <a:avLst>
            <a:gd name="adj" fmla="val 10000"/>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Détermination/action</a:t>
          </a:r>
        </a:p>
      </dsp:txBody>
      <dsp:txXfrm>
        <a:off x="483001" y="1385043"/>
        <a:ext cx="1772116" cy="430312"/>
      </dsp:txXfrm>
    </dsp:sp>
    <dsp:sp modelId="{1FEB275E-29A6-124C-B06D-13DA5A3840BB}">
      <dsp:nvSpPr>
        <dsp:cNvPr id="0" name=""/>
        <dsp:cNvSpPr/>
      </dsp:nvSpPr>
      <dsp:spPr>
        <a:xfrm rot="5400000">
          <a:off x="1283355" y="1840171"/>
          <a:ext cx="171408" cy="205689"/>
        </a:xfrm>
        <a:prstGeom prst="rightArrow">
          <a:avLst>
            <a:gd name="adj1" fmla="val 60000"/>
            <a:gd name="adj2" fmla="val 50000"/>
          </a:avLst>
        </a:prstGeom>
        <a:gradFill rotWithShape="0">
          <a:gsLst>
            <a:gs pos="0">
              <a:schemeClr val="accent1">
                <a:tint val="60000"/>
                <a:hueOff val="0"/>
                <a:satOff val="0"/>
                <a:lumOff val="0"/>
                <a:alphaOff val="0"/>
                <a:tint val="100000"/>
                <a:shade val="100000"/>
                <a:satMod val="130000"/>
              </a:schemeClr>
            </a:gs>
            <a:gs pos="100000">
              <a:schemeClr val="accent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rot="-5400000">
        <a:off x="1307353" y="1857311"/>
        <a:ext cx="123413" cy="119986"/>
      </dsp:txXfrm>
    </dsp:sp>
    <dsp:sp modelId="{4F2DD939-7AB0-D049-9D80-958F983B5D21}">
      <dsp:nvSpPr>
        <dsp:cNvPr id="0" name=""/>
        <dsp:cNvSpPr/>
      </dsp:nvSpPr>
      <dsp:spPr>
        <a:xfrm>
          <a:off x="469613" y="2057288"/>
          <a:ext cx="1798892" cy="457088"/>
        </a:xfrm>
        <a:prstGeom prst="roundRect">
          <a:avLst>
            <a:gd name="adj" fmla="val 10000"/>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Maintien</a:t>
          </a:r>
        </a:p>
      </dsp:txBody>
      <dsp:txXfrm>
        <a:off x="483001" y="2070676"/>
        <a:ext cx="1772116" cy="430312"/>
      </dsp:txXfrm>
    </dsp:sp>
    <dsp:sp modelId="{88BF8CDC-B9AA-C342-96B8-0F75F90CC1D4}">
      <dsp:nvSpPr>
        <dsp:cNvPr id="0" name=""/>
        <dsp:cNvSpPr/>
      </dsp:nvSpPr>
      <dsp:spPr>
        <a:xfrm rot="5400000">
          <a:off x="1283355" y="2525803"/>
          <a:ext cx="171408" cy="205689"/>
        </a:xfrm>
        <a:prstGeom prst="rightArrow">
          <a:avLst>
            <a:gd name="adj1" fmla="val 60000"/>
            <a:gd name="adj2" fmla="val 50000"/>
          </a:avLst>
        </a:prstGeom>
        <a:gradFill rotWithShape="0">
          <a:gsLst>
            <a:gs pos="0">
              <a:schemeClr val="accent1">
                <a:tint val="60000"/>
                <a:hueOff val="0"/>
                <a:satOff val="0"/>
                <a:lumOff val="0"/>
                <a:alphaOff val="0"/>
                <a:tint val="100000"/>
                <a:shade val="100000"/>
                <a:satMod val="130000"/>
              </a:schemeClr>
            </a:gs>
            <a:gs pos="100000">
              <a:schemeClr val="accent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rot="-5400000">
        <a:off x="1307353" y="2542943"/>
        <a:ext cx="123413" cy="119986"/>
      </dsp:txXfrm>
    </dsp:sp>
    <dsp:sp modelId="{B6154049-1AD8-584D-BC2C-16E3B0105577}">
      <dsp:nvSpPr>
        <dsp:cNvPr id="0" name=""/>
        <dsp:cNvSpPr/>
      </dsp:nvSpPr>
      <dsp:spPr>
        <a:xfrm>
          <a:off x="469613" y="2742920"/>
          <a:ext cx="1798892" cy="457088"/>
        </a:xfrm>
        <a:prstGeom prst="roundRect">
          <a:avLst>
            <a:gd name="adj" fmla="val 10000"/>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Abstinence</a:t>
          </a:r>
        </a:p>
      </dsp:txBody>
      <dsp:txXfrm>
        <a:off x="483001" y="2756308"/>
        <a:ext cx="1772116" cy="43031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5</Pages>
  <Words>1243</Words>
  <Characters>7087</Characters>
  <Application>Microsoft Macintosh Word</Application>
  <DocSecurity>0</DocSecurity>
  <Lines>59</Lines>
  <Paragraphs>16</Paragraphs>
  <ScaleCrop>false</ScaleCrop>
  <Company/>
  <LinksUpToDate>false</LinksUpToDate>
  <CharactersWithSpaces>8314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Potter</dc:creator>
  <cp:keywords/>
  <dc:description/>
  <cp:lastModifiedBy>Martin Potter</cp:lastModifiedBy>
  <cp:revision>62</cp:revision>
  <cp:lastPrinted>2016-02-13T18:10:00Z</cp:lastPrinted>
  <dcterms:created xsi:type="dcterms:W3CDTF">2016-02-05T22:58:00Z</dcterms:created>
  <dcterms:modified xsi:type="dcterms:W3CDTF">2016-02-16T18:58:00Z</dcterms:modified>
</cp:coreProperties>
</file>